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3305" w14:textId="07A62932" w:rsidR="00F745F7" w:rsidRDefault="00707DAF" w:rsidP="00707DAF">
      <w:pPr>
        <w:spacing w:after="150" w:line="247" w:lineRule="auto"/>
        <w:jc w:val="center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U</w:t>
      </w:r>
      <w:r w:rsidRPr="00707DAF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mow</w:t>
      </w:r>
      <w:r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a</w:t>
      </w:r>
      <w:r w:rsidRPr="00707DAF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 powierzenia przetwarzania danych osobowych</w:t>
      </w:r>
    </w:p>
    <w:p w14:paraId="286DEE48" w14:textId="6E12FE28" w:rsidR="00E56C8C" w:rsidRPr="00F72BCC" w:rsidRDefault="00DA5DE1" w:rsidP="00DA5DE1">
      <w:pPr>
        <w:spacing w:after="150" w:line="247" w:lineRule="auto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zwan</w:t>
      </w:r>
      <w:r w:rsidR="00707DAF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a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dalej „</w:t>
      </w:r>
      <w:r w:rsidR="00707DAF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Umową PPDO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”, zawart</w:t>
      </w:r>
      <w:r w:rsidR="00707DAF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a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 </w:t>
      </w:r>
      <w:r w:rsidR="00697739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Koźminku</w:t>
      </w:r>
      <w:r w:rsidR="00A86DA8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Pr="00F72BC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 dniu złożenia ostatniego z kwalifikowanych podpisów elektronicznych/podpisów własnoręcznych pomiędzy:</w:t>
      </w:r>
    </w:p>
    <w:p w14:paraId="367CCF75" w14:textId="6B849088" w:rsidR="00697739" w:rsidRPr="009238F6" w:rsidRDefault="00697739" w:rsidP="00697739">
      <w:pPr>
        <w:spacing w:after="150" w:line="247" w:lineRule="auto"/>
        <w:rPr>
          <w:rFonts w:ascii="Calibri Light" w:hAnsi="Calibri Light" w:cs="Calibri Light"/>
          <w:b/>
          <w:bCs/>
          <w:sz w:val="23"/>
          <w:szCs w:val="23"/>
        </w:rPr>
      </w:pPr>
      <w:r w:rsidRPr="002E19F6">
        <w:rPr>
          <w:rFonts w:ascii="Calibri Light" w:hAnsi="Calibri Light" w:cs="Calibri Light"/>
          <w:b/>
          <w:bCs/>
          <w:sz w:val="23"/>
          <w:szCs w:val="23"/>
        </w:rPr>
        <w:t>Dominikiem Chenczke</w:t>
      </w:r>
      <w:r w:rsidRPr="009238F6">
        <w:rPr>
          <w:rFonts w:ascii="Calibri Light" w:hAnsi="Calibri Light" w:cs="Calibri Light"/>
          <w:sz w:val="23"/>
          <w:szCs w:val="23"/>
        </w:rPr>
        <w:t>,</w:t>
      </w:r>
      <w:r w:rsidRPr="009238F6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r w:rsidRPr="009238F6">
        <w:rPr>
          <w:rFonts w:ascii="Calibri Light" w:hAnsi="Calibri Light" w:cs="Calibri Light"/>
          <w:sz w:val="23"/>
          <w:szCs w:val="23"/>
        </w:rPr>
        <w:t>prowadzącym działalność gospodarczą pod firmą</w:t>
      </w:r>
      <w:r w:rsidRPr="009238F6">
        <w:rPr>
          <w:rFonts w:ascii="Calibri Light" w:hAnsi="Calibri Light" w:cs="Calibri Light"/>
          <w:b/>
          <w:bCs/>
          <w:sz w:val="23"/>
          <w:szCs w:val="23"/>
        </w:rPr>
        <w:t xml:space="preserve"> DeCha Computers Dominik Chenczke</w:t>
      </w:r>
      <w:r w:rsidRPr="00697739">
        <w:rPr>
          <w:rFonts w:ascii="Calibri Light" w:hAnsi="Calibri Light" w:cs="Calibri Light"/>
          <w:sz w:val="23"/>
          <w:szCs w:val="23"/>
        </w:rPr>
        <w:t>,</w:t>
      </w:r>
      <w:r w:rsidRPr="009238F6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r w:rsidRPr="009238F6">
        <w:rPr>
          <w:rFonts w:ascii="Calibri Light" w:hAnsi="Calibri Light" w:cs="Calibri Light"/>
          <w:sz w:val="23"/>
          <w:szCs w:val="23"/>
        </w:rPr>
        <w:t>stałe miejsce wykonywania działalności gospodarczej: ul. Nakwasińska 16A, 62-840 Koźminek,</w:t>
      </w:r>
      <w:r w:rsidRPr="009238F6" w:rsidDel="006B66FB">
        <w:rPr>
          <w:rFonts w:ascii="Calibri Light" w:hAnsi="Calibri Light" w:cs="Calibri Light"/>
          <w:sz w:val="23"/>
          <w:szCs w:val="23"/>
        </w:rPr>
        <w:t xml:space="preserve"> </w:t>
      </w:r>
      <w:r w:rsidRPr="009238F6">
        <w:rPr>
          <w:rFonts w:ascii="Calibri Light" w:hAnsi="Calibri Light" w:cs="Calibri Light"/>
          <w:sz w:val="23"/>
          <w:szCs w:val="23"/>
        </w:rPr>
        <w:t>REGON 300158660, NIP 9680801599, wpisanym do rejestru przedsiębiorców telekomunikacyjnych prowadzonego przez Prezesa Urzędu Komunikacji Elektronicznej pod numerem 5687, zwanym dalej</w:t>
      </w:r>
      <w:r w:rsidRPr="009238F6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r w:rsidRPr="00094D13">
        <w:rPr>
          <w:rFonts w:ascii="Calibri Light" w:hAnsi="Calibri Light" w:cs="Calibri Light"/>
          <w:sz w:val="23"/>
          <w:szCs w:val="23"/>
        </w:rPr>
        <w:t>„</w:t>
      </w:r>
      <w:r w:rsidRPr="009238F6">
        <w:rPr>
          <w:rFonts w:ascii="Calibri Light" w:hAnsi="Calibri Light" w:cs="Calibri Light"/>
          <w:b/>
          <w:bCs/>
          <w:sz w:val="23"/>
          <w:szCs w:val="23"/>
        </w:rPr>
        <w:t>OSD</w:t>
      </w:r>
      <w:r w:rsidRPr="00094D13">
        <w:rPr>
          <w:rFonts w:ascii="Calibri Light" w:hAnsi="Calibri Light" w:cs="Calibri Light"/>
          <w:sz w:val="23"/>
          <w:szCs w:val="23"/>
        </w:rPr>
        <w:t>”,</w:t>
      </w:r>
    </w:p>
    <w:p w14:paraId="356327AB" w14:textId="247CCB33" w:rsidR="00DA5DE1" w:rsidRPr="00E34F8C" w:rsidRDefault="00DA5DE1" w:rsidP="00DA5DE1">
      <w:pPr>
        <w:spacing w:after="150" w:line="247" w:lineRule="auto"/>
        <w:rPr>
          <w:rFonts w:asciiTheme="majorHAnsi" w:hAnsiTheme="majorHAnsi" w:cstheme="majorHAnsi"/>
          <w:sz w:val="23"/>
          <w:szCs w:val="23"/>
        </w:rPr>
      </w:pPr>
      <w:r w:rsidRPr="00E34F8C">
        <w:rPr>
          <w:rFonts w:asciiTheme="majorHAnsi" w:hAnsiTheme="majorHAnsi" w:cstheme="majorHAnsi"/>
          <w:sz w:val="23"/>
          <w:szCs w:val="23"/>
        </w:rPr>
        <w:t>a</w:t>
      </w:r>
    </w:p>
    <w:p w14:paraId="37F5AB2E" w14:textId="61A3F1DD" w:rsidR="00DA5DE1" w:rsidRPr="00E34F8C" w:rsidRDefault="00DA5DE1" w:rsidP="00DA5DE1">
      <w:pPr>
        <w:spacing w:after="150" w:line="247" w:lineRule="auto"/>
        <w:rPr>
          <w:rFonts w:asciiTheme="majorHAnsi" w:hAnsiTheme="majorHAnsi" w:cstheme="majorHAnsi"/>
          <w:sz w:val="23"/>
          <w:szCs w:val="23"/>
        </w:rPr>
      </w:pPr>
      <w:r w:rsidRPr="00E34F8C">
        <w:rPr>
          <w:rFonts w:asciiTheme="majorHAnsi" w:hAnsiTheme="majorHAnsi" w:cstheme="majorHAnsi"/>
          <w:sz w:val="23"/>
          <w:szCs w:val="23"/>
        </w:rPr>
        <w:t>.............. z siedzibą w ........</w:t>
      </w:r>
      <w:r w:rsidR="000D6B89" w:rsidRPr="00E34F8C">
        <w:rPr>
          <w:rFonts w:asciiTheme="majorHAnsi" w:hAnsiTheme="majorHAnsi" w:cstheme="majorHAnsi"/>
          <w:sz w:val="23"/>
          <w:szCs w:val="23"/>
        </w:rPr>
        <w:t>, adres siedziby</w:t>
      </w:r>
      <w:r w:rsidRPr="00E34F8C">
        <w:rPr>
          <w:rFonts w:asciiTheme="majorHAnsi" w:hAnsiTheme="majorHAnsi" w:cstheme="majorHAnsi"/>
          <w:sz w:val="23"/>
          <w:szCs w:val="23"/>
        </w:rPr>
        <w:t>: ..............</w:t>
      </w:r>
      <w:r w:rsidR="00F567A9" w:rsidRPr="00E34F8C">
        <w:rPr>
          <w:rFonts w:asciiTheme="majorHAnsi" w:hAnsiTheme="majorHAnsi" w:cstheme="majorHAnsi"/>
          <w:sz w:val="23"/>
          <w:szCs w:val="23"/>
        </w:rPr>
        <w:t>,</w:t>
      </w:r>
      <w:r w:rsidRPr="00E34F8C">
        <w:rPr>
          <w:rFonts w:asciiTheme="majorHAnsi" w:hAnsiTheme="majorHAnsi" w:cstheme="majorHAnsi"/>
          <w:sz w:val="23"/>
          <w:szCs w:val="23"/>
        </w:rPr>
        <w:t xml:space="preserve"> wpisaną do rejestru przedsiębiorców Krajowego Rejestru Sądowego prowadzonego przez ............. pod numerem KRS: ........... (nie dotyczy przedsiębiorców wpisanych do Centralnej Ewidencji i Informacji o Działalności Gospodarczej)</w:t>
      </w:r>
      <w:r w:rsidR="00F567A9" w:rsidRPr="00E34F8C">
        <w:rPr>
          <w:rFonts w:asciiTheme="majorHAnsi" w:hAnsiTheme="majorHAnsi" w:cstheme="majorHAnsi"/>
          <w:sz w:val="23"/>
          <w:szCs w:val="23"/>
        </w:rPr>
        <w:t>,</w:t>
      </w:r>
      <w:r w:rsidRPr="00E34F8C">
        <w:rPr>
          <w:rFonts w:asciiTheme="majorHAnsi" w:hAnsiTheme="majorHAnsi" w:cstheme="majorHAnsi"/>
          <w:sz w:val="23"/>
          <w:szCs w:val="23"/>
        </w:rPr>
        <w:t xml:space="preserve"> REGON: ...................</w:t>
      </w:r>
      <w:r w:rsidR="00F567A9" w:rsidRPr="00E34F8C">
        <w:rPr>
          <w:rFonts w:asciiTheme="majorHAnsi" w:hAnsiTheme="majorHAnsi" w:cstheme="majorHAnsi"/>
          <w:sz w:val="23"/>
          <w:szCs w:val="23"/>
        </w:rPr>
        <w:t>,</w:t>
      </w:r>
      <w:r w:rsidRPr="00E34F8C">
        <w:rPr>
          <w:rFonts w:asciiTheme="majorHAnsi" w:hAnsiTheme="majorHAnsi" w:cstheme="majorHAnsi"/>
          <w:sz w:val="23"/>
          <w:szCs w:val="23"/>
        </w:rPr>
        <w:t xml:space="preserve"> NIP................................, wpisaną/</w:t>
      </w:r>
      <w:proofErr w:type="spellStart"/>
      <w:r w:rsidRPr="00E34F8C">
        <w:rPr>
          <w:rFonts w:asciiTheme="majorHAnsi" w:hAnsiTheme="majorHAnsi" w:cstheme="majorHAnsi"/>
          <w:sz w:val="23"/>
          <w:szCs w:val="23"/>
        </w:rPr>
        <w:t>ym</w:t>
      </w:r>
      <w:proofErr w:type="spellEnd"/>
      <w:r w:rsidRPr="00E34F8C">
        <w:rPr>
          <w:rFonts w:asciiTheme="majorHAnsi" w:hAnsiTheme="majorHAnsi" w:cstheme="majorHAnsi"/>
          <w:sz w:val="23"/>
          <w:szCs w:val="23"/>
        </w:rPr>
        <w:t xml:space="preserve"> do rejestru przedsiębiorców telekomunikacyjnych prowadzonego przez Prezesa Urzędu Komunikacji Elektronicznej pod numerem …..............., zwaną/</w:t>
      </w:r>
      <w:proofErr w:type="spellStart"/>
      <w:r w:rsidRPr="00E34F8C">
        <w:rPr>
          <w:rFonts w:asciiTheme="majorHAnsi" w:hAnsiTheme="majorHAnsi" w:cstheme="majorHAnsi"/>
          <w:sz w:val="23"/>
          <w:szCs w:val="23"/>
        </w:rPr>
        <w:t>ym</w:t>
      </w:r>
      <w:proofErr w:type="spellEnd"/>
      <w:r w:rsidRPr="00E34F8C">
        <w:rPr>
          <w:rFonts w:asciiTheme="majorHAnsi" w:hAnsiTheme="majorHAnsi" w:cstheme="majorHAnsi"/>
          <w:sz w:val="23"/>
          <w:szCs w:val="23"/>
        </w:rPr>
        <w:t xml:space="preserve"> dalej „</w:t>
      </w:r>
      <w:r w:rsidRPr="00E34F8C">
        <w:rPr>
          <w:rFonts w:asciiTheme="majorHAnsi" w:hAnsiTheme="majorHAnsi" w:cstheme="majorHAnsi"/>
          <w:b/>
          <w:bCs/>
          <w:sz w:val="23"/>
          <w:szCs w:val="23"/>
        </w:rPr>
        <w:t>OK</w:t>
      </w:r>
      <w:r w:rsidRPr="00E34F8C">
        <w:rPr>
          <w:rFonts w:asciiTheme="majorHAnsi" w:hAnsiTheme="majorHAnsi" w:cstheme="majorHAnsi"/>
          <w:sz w:val="23"/>
          <w:szCs w:val="23"/>
        </w:rPr>
        <w:t>”, reprezentowaną/</w:t>
      </w:r>
      <w:proofErr w:type="spellStart"/>
      <w:r w:rsidRPr="00E34F8C">
        <w:rPr>
          <w:rFonts w:asciiTheme="majorHAnsi" w:hAnsiTheme="majorHAnsi" w:cstheme="majorHAnsi"/>
          <w:sz w:val="23"/>
          <w:szCs w:val="23"/>
        </w:rPr>
        <w:t>ym</w:t>
      </w:r>
      <w:proofErr w:type="spellEnd"/>
      <w:r w:rsidRPr="00E34F8C">
        <w:rPr>
          <w:rFonts w:asciiTheme="majorHAnsi" w:hAnsiTheme="majorHAnsi" w:cstheme="majorHAnsi"/>
          <w:sz w:val="23"/>
          <w:szCs w:val="23"/>
        </w:rPr>
        <w:t xml:space="preserve"> przez: </w:t>
      </w:r>
      <w:r w:rsidRPr="002E19F6">
        <w:rPr>
          <w:rFonts w:asciiTheme="majorHAnsi" w:hAnsiTheme="majorHAnsi" w:cstheme="majorHAnsi"/>
          <w:sz w:val="23"/>
          <w:szCs w:val="23"/>
        </w:rPr>
        <w:t>________________________________________</w:t>
      </w:r>
    </w:p>
    <w:p w14:paraId="0431C359" w14:textId="20DA1E0A" w:rsidR="00DA5DE1" w:rsidRPr="00E34F8C" w:rsidRDefault="00DA5DE1" w:rsidP="00DA5DE1">
      <w:pPr>
        <w:spacing w:after="150" w:line="247" w:lineRule="auto"/>
        <w:rPr>
          <w:rFonts w:asciiTheme="majorHAnsi" w:hAnsiTheme="majorHAnsi" w:cstheme="majorHAnsi"/>
          <w:sz w:val="23"/>
          <w:szCs w:val="23"/>
        </w:rPr>
      </w:pPr>
      <w:r w:rsidRPr="00E34F8C">
        <w:rPr>
          <w:rFonts w:asciiTheme="majorHAnsi" w:hAnsiTheme="majorHAnsi" w:cstheme="majorHAnsi"/>
          <w:sz w:val="23"/>
          <w:szCs w:val="23"/>
        </w:rPr>
        <w:t>OSD i OK zwani są również dalej każdy z osobna „</w:t>
      </w:r>
      <w:r w:rsidRPr="00E34F8C">
        <w:rPr>
          <w:rFonts w:asciiTheme="majorHAnsi" w:hAnsiTheme="majorHAnsi" w:cstheme="majorHAnsi"/>
          <w:b/>
          <w:bCs/>
          <w:sz w:val="23"/>
          <w:szCs w:val="23"/>
        </w:rPr>
        <w:t>Stroną</w:t>
      </w:r>
      <w:r w:rsidRPr="00E34F8C">
        <w:rPr>
          <w:rFonts w:asciiTheme="majorHAnsi" w:hAnsiTheme="majorHAnsi" w:cstheme="majorHAnsi"/>
          <w:sz w:val="23"/>
          <w:szCs w:val="23"/>
        </w:rPr>
        <w:t>”, a łącznie „</w:t>
      </w:r>
      <w:r w:rsidRPr="00E34F8C">
        <w:rPr>
          <w:rFonts w:asciiTheme="majorHAnsi" w:hAnsiTheme="majorHAnsi" w:cstheme="majorHAnsi"/>
          <w:b/>
          <w:bCs/>
          <w:sz w:val="23"/>
          <w:szCs w:val="23"/>
        </w:rPr>
        <w:t>Stronami</w:t>
      </w:r>
      <w:r w:rsidRPr="00E34F8C">
        <w:rPr>
          <w:rFonts w:asciiTheme="majorHAnsi" w:hAnsiTheme="majorHAnsi" w:cstheme="majorHAnsi"/>
          <w:sz w:val="23"/>
          <w:szCs w:val="23"/>
        </w:rPr>
        <w:t>”.</w:t>
      </w:r>
    </w:p>
    <w:p w14:paraId="78DC68BA" w14:textId="77777777" w:rsidR="00D6510A" w:rsidRDefault="00D6510A" w:rsidP="000D6B89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</w:p>
    <w:p w14:paraId="7A119B2B" w14:textId="244F590F" w:rsidR="000D6B89" w:rsidRPr="00E34F8C" w:rsidRDefault="000D6B89" w:rsidP="000D6B89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Preambuła</w:t>
      </w:r>
    </w:p>
    <w:p w14:paraId="2A621446" w14:textId="0BA104FD" w:rsidR="000D6B89" w:rsidRPr="00E34F8C" w:rsidRDefault="000D6B89" w:rsidP="000D6B89">
      <w:pPr>
        <w:spacing w:after="150" w:line="247" w:lineRule="auto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Zważywszy, że:</w:t>
      </w:r>
    </w:p>
    <w:p w14:paraId="7E0D0A8C" w14:textId="6E45C99E" w:rsidR="000D6B89" w:rsidRPr="00E34F8C" w:rsidRDefault="000D6B89" w:rsidP="003C7C9C">
      <w:pPr>
        <w:pStyle w:val="Akapitzlist"/>
        <w:numPr>
          <w:ilvl w:val="0"/>
          <w:numId w:val="1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Strony łączy umowa ramowa nr _____________</w:t>
      </w:r>
      <w:r w:rsidRPr="00E34F8C">
        <w:rPr>
          <w:rFonts w:asciiTheme="majorHAnsi" w:hAnsiTheme="majorHAnsi" w:cstheme="majorHAnsi"/>
          <w:sz w:val="23"/>
          <w:szCs w:val="23"/>
        </w:rPr>
        <w:t xml:space="preserve">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w zakresie dostępu hurtowego do sieci zrealizowanej w ramach KPO4, zawarta w dniu _ _ . _ _ . _ _ _ _ r. (zwana dalej „</w:t>
      </w:r>
      <w:r w:rsidRPr="00E34F8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Umową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”);</w:t>
      </w:r>
    </w:p>
    <w:p w14:paraId="0473AF5F" w14:textId="325629D0" w:rsidR="00707DAF" w:rsidRPr="00E34F8C" w:rsidRDefault="006B375A" w:rsidP="003C7C9C">
      <w:pPr>
        <w:pStyle w:val="Akapitzlist"/>
        <w:numPr>
          <w:ilvl w:val="0"/>
          <w:numId w:val="1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do realizacji Umowy niezbędne jest powierzenie OSD przez OK, w trybie art. 28 RODO, do przetwarzania danych osobowych Abonentów OK oraz potencjalnych klientów OK (dalej jako „</w:t>
      </w:r>
      <w:r w:rsidRPr="00E34F8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Dane Abonentów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)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;</w:t>
      </w:r>
    </w:p>
    <w:p w14:paraId="39987C0D" w14:textId="06A29B25" w:rsidR="007A2BA3" w:rsidRPr="00E34F8C" w:rsidRDefault="007A2BA3" w:rsidP="003C7C9C">
      <w:pPr>
        <w:pStyle w:val="Akapitzlist"/>
        <w:numPr>
          <w:ilvl w:val="0"/>
          <w:numId w:val="1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niezbędne stało się uregulowanie wzajemnych praw i obowiązków Stron w zakresie powierzenia przetwarzania danych osobowych</w:t>
      </w:r>
    </w:p>
    <w:p w14:paraId="455D5D5B" w14:textId="32861087" w:rsidR="00DA5DE1" w:rsidRPr="00E34F8C" w:rsidRDefault="000D6B89" w:rsidP="00DA5DE1">
      <w:pPr>
        <w:spacing w:after="150" w:line="247" w:lineRule="auto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- </w:t>
      </w:r>
      <w:r w:rsidR="00DA5DE1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Strony zgodnie oświadczają, że zawierają </w:t>
      </w:r>
      <w:r w:rsidR="00707DAF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Umowę PPDO</w:t>
      </w:r>
      <w:r w:rsidR="00DA5DE1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o następującej treści:</w:t>
      </w:r>
    </w:p>
    <w:p w14:paraId="25B58984" w14:textId="4B5A4BEB" w:rsidR="00DA5DE1" w:rsidRPr="00E34F8C" w:rsidRDefault="00125D64" w:rsidP="007A2BA3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bookmarkStart w:id="0" w:name="_Hlk206593739"/>
      <w:r w:rsidRPr="00E34F8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§ 1. </w:t>
      </w:r>
      <w:r w:rsidR="00EB1AFC" w:rsidRPr="00E34F8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P</w:t>
      </w:r>
      <w:r w:rsidRPr="00E34F8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rzedmiot </w:t>
      </w:r>
      <w:r w:rsidR="007A2BA3" w:rsidRPr="00E34F8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i cel Umowy PPDO</w:t>
      </w:r>
    </w:p>
    <w:p w14:paraId="724DA3A0" w14:textId="6B6DFB14" w:rsidR="007A2BA3" w:rsidRPr="00E34F8C" w:rsidRDefault="007A2BA3" w:rsidP="003C7C9C">
      <w:pPr>
        <w:spacing w:after="150" w:line="247" w:lineRule="auto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OK</w:t>
      </w:r>
      <w:r w:rsidR="002A3294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powierza OSD do przetwarzania Dane Abonentów określone w</w:t>
      </w:r>
      <w:r w:rsidR="006F1C8E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§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2 ust. </w:t>
      </w:r>
      <w:r w:rsidR="006F1C8E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2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Umowy</w:t>
      </w:r>
      <w:r w:rsidR="006F1C8E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PPDO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 w celu i zakresie opisanym w Umowie</w:t>
      </w:r>
      <w:r w:rsidR="006F1C8E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PPDO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, a </w:t>
      </w:r>
      <w:r w:rsidR="006F1C8E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przyjmuje te </w:t>
      </w:r>
      <w:r w:rsidR="006F1C8E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D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ane </w:t>
      </w:r>
      <w:r w:rsidR="006F1C8E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Abonentów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do przetwarzania w tym celu i zobowiązuje się do ich przetwarzania zgodnie z Umową</w:t>
      </w:r>
      <w:r w:rsidR="006F1C8E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PPDO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 RODO oraz z innymi przepisami powszechnie obowiązującego</w:t>
      </w:r>
      <w:r w:rsidR="006F1C8E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prawa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.</w:t>
      </w:r>
    </w:p>
    <w:p w14:paraId="1F35B74A" w14:textId="77777777" w:rsidR="00BE7280" w:rsidRDefault="00BE7280" w:rsidP="006F1C8E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</w:p>
    <w:p w14:paraId="3052A5F2" w14:textId="77777777" w:rsidR="00BE7280" w:rsidRDefault="00BE7280" w:rsidP="006F1C8E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</w:p>
    <w:p w14:paraId="51FEC215" w14:textId="77777777" w:rsidR="00BE7280" w:rsidRDefault="00BE7280" w:rsidP="006F1C8E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</w:p>
    <w:p w14:paraId="1EB3FE80" w14:textId="6DB4F3ED" w:rsidR="007A2BA3" w:rsidRPr="00E34F8C" w:rsidRDefault="007A2BA3" w:rsidP="006F1C8E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lastRenderedPageBreak/>
        <w:t xml:space="preserve">§ 2. </w:t>
      </w:r>
      <w:r w:rsidR="006F1C8E" w:rsidRPr="00E34F8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 xml:space="preserve">Zakres i cel powierzenia </w:t>
      </w:r>
    </w:p>
    <w:p w14:paraId="7A3729FF" w14:textId="111B1BE1" w:rsidR="007A2BA3" w:rsidRPr="00E34F8C" w:rsidRDefault="00331C3B" w:rsidP="003C7C9C">
      <w:pPr>
        <w:pStyle w:val="Akapitzlist"/>
        <w:numPr>
          <w:ilvl w:val="0"/>
          <w:numId w:val="2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OSD 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może przetwarzać powierzone przez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OK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Dane Abonentów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wyłącznie 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br/>
        <w:t xml:space="preserve">w celu wykonania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Umowy</w:t>
      </w:r>
      <w:r w:rsidR="005B7D0E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, w związku ze świadczeniem usługi BSA </w:t>
      </w:r>
      <w:r w:rsidR="002A3294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lub</w:t>
      </w:r>
      <w:r w:rsidR="005B7D0E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="002A3294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usługi </w:t>
      </w:r>
      <w:r w:rsidR="005B7D0E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LLU oraz ewentualnych usług komplementarnych</w:t>
      </w:r>
      <w:r w:rsidR="002A3294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na rzecz OK lub Abonentów OK</w:t>
      </w:r>
      <w:r w:rsidR="00051640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. </w:t>
      </w:r>
    </w:p>
    <w:p w14:paraId="682A9179" w14:textId="3ABC9561" w:rsidR="00331C3B" w:rsidRPr="00E34F8C" w:rsidRDefault="007A2BA3" w:rsidP="00331C3B">
      <w:pPr>
        <w:pStyle w:val="Akapitzlist"/>
        <w:numPr>
          <w:ilvl w:val="0"/>
          <w:numId w:val="2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W celu wykonania obowiązków wynikających z Umowy </w:t>
      </w:r>
      <w:r w:rsidR="00331C3B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PPDO, OSD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może przetwarzać </w:t>
      </w:r>
      <w:r w:rsidR="00331C3B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Dane Abonentów w zakresie: </w:t>
      </w:r>
      <w:r w:rsidR="00331C3B" w:rsidRPr="00051640">
        <w:rPr>
          <w:rFonts w:asciiTheme="majorHAnsi" w:eastAsiaTheme="majorEastAsia" w:hAnsiTheme="majorHAnsi" w:cstheme="majorHAnsi"/>
          <w:bCs/>
          <w:i/>
          <w:iCs/>
          <w:color w:val="000000" w:themeColor="text1"/>
          <w:sz w:val="23"/>
          <w:szCs w:val="23"/>
        </w:rPr>
        <w:t>nazwy firmy, imienia, adresu instalacji, numeru</w:t>
      </w:r>
      <w:r w:rsidR="00051640">
        <w:rPr>
          <w:rFonts w:asciiTheme="majorHAnsi" w:eastAsiaTheme="majorEastAsia" w:hAnsiTheme="majorHAnsi" w:cstheme="majorHAnsi"/>
          <w:bCs/>
          <w:i/>
          <w:iCs/>
          <w:color w:val="000000" w:themeColor="text1"/>
          <w:sz w:val="23"/>
          <w:szCs w:val="23"/>
        </w:rPr>
        <w:t xml:space="preserve"> </w:t>
      </w:r>
      <w:r w:rsidR="00051640" w:rsidRPr="00051640">
        <w:rPr>
          <w:rFonts w:asciiTheme="majorHAnsi" w:eastAsiaTheme="majorEastAsia" w:hAnsiTheme="majorHAnsi" w:cstheme="majorHAnsi"/>
          <w:bCs/>
          <w:i/>
          <w:iCs/>
          <w:color w:val="000000" w:themeColor="text1"/>
          <w:sz w:val="23"/>
          <w:szCs w:val="23"/>
        </w:rPr>
        <w:t>telefon</w:t>
      </w:r>
      <w:r w:rsidR="00051640">
        <w:rPr>
          <w:rFonts w:asciiTheme="majorHAnsi" w:eastAsiaTheme="majorEastAsia" w:hAnsiTheme="majorHAnsi" w:cstheme="majorHAnsi"/>
          <w:bCs/>
          <w:i/>
          <w:iCs/>
          <w:color w:val="000000" w:themeColor="text1"/>
          <w:sz w:val="23"/>
          <w:szCs w:val="23"/>
        </w:rPr>
        <w:t>u</w:t>
      </w:r>
      <w:r w:rsidR="000460E9" w:rsidRPr="00051640">
        <w:rPr>
          <w:rFonts w:asciiTheme="majorHAnsi" w:eastAsiaTheme="majorEastAsia" w:hAnsiTheme="majorHAnsi" w:cstheme="majorHAnsi"/>
          <w:bCs/>
          <w:i/>
          <w:iCs/>
          <w:color w:val="000000" w:themeColor="text1"/>
          <w:sz w:val="23"/>
          <w:szCs w:val="23"/>
        </w:rPr>
        <w:t xml:space="preserve"> kontaktowego</w:t>
      </w:r>
      <w:r w:rsidR="00051640">
        <w:rPr>
          <w:rFonts w:asciiTheme="majorHAnsi" w:eastAsiaTheme="majorEastAsia" w:hAnsiTheme="majorHAnsi" w:cstheme="majorHAnsi"/>
          <w:bCs/>
          <w:i/>
          <w:iCs/>
          <w:color w:val="000000" w:themeColor="text1"/>
          <w:sz w:val="23"/>
          <w:szCs w:val="23"/>
        </w:rPr>
        <w:t xml:space="preserve"> </w:t>
      </w:r>
      <w:r w:rsidR="000460E9" w:rsidRPr="00051640">
        <w:rPr>
          <w:rFonts w:asciiTheme="majorHAnsi" w:eastAsiaTheme="majorEastAsia" w:hAnsiTheme="majorHAnsi" w:cstheme="majorHAnsi"/>
          <w:bCs/>
          <w:i/>
          <w:iCs/>
          <w:color w:val="000000" w:themeColor="text1"/>
          <w:sz w:val="23"/>
          <w:szCs w:val="23"/>
        </w:rPr>
        <w:t>[</w:t>
      </w:r>
      <w:r w:rsidR="00051640" w:rsidRPr="00051640">
        <w:rPr>
          <w:rFonts w:asciiTheme="majorHAnsi" w:eastAsiaTheme="majorEastAsia" w:hAnsiTheme="majorHAnsi" w:cstheme="majorHAnsi"/>
          <w:bCs/>
          <w:i/>
          <w:iCs/>
          <w:color w:val="000000" w:themeColor="text1"/>
          <w:sz w:val="23"/>
          <w:szCs w:val="23"/>
          <w:highlight w:val="yellow"/>
        </w:rPr>
        <w:t>zakres danych podlegających powierzeniu powinien zostać każdorazowo ustalony przez Strony adekwatnie do modelu współpracy, zaproponowano przykładowy zakres</w:t>
      </w:r>
      <w:r w:rsidR="000460E9" w:rsidRPr="00051640">
        <w:rPr>
          <w:rFonts w:asciiTheme="majorHAnsi" w:eastAsiaTheme="majorEastAsia" w:hAnsiTheme="majorHAnsi" w:cstheme="majorHAnsi"/>
          <w:bCs/>
          <w:i/>
          <w:iCs/>
          <w:color w:val="000000" w:themeColor="text1"/>
          <w:sz w:val="23"/>
          <w:szCs w:val="23"/>
        </w:rPr>
        <w:t>]</w:t>
      </w:r>
      <w:r w:rsidR="00051640">
        <w:rPr>
          <w:rFonts w:asciiTheme="majorHAnsi" w:eastAsiaTheme="majorEastAsia" w:hAnsiTheme="majorHAnsi" w:cstheme="majorHAnsi"/>
          <w:bCs/>
          <w:i/>
          <w:iCs/>
          <w:color w:val="000000" w:themeColor="text1"/>
          <w:sz w:val="23"/>
          <w:szCs w:val="23"/>
        </w:rPr>
        <w:t>.</w:t>
      </w:r>
    </w:p>
    <w:p w14:paraId="4CD37E1A" w14:textId="03546E3D" w:rsidR="005B7D0E" w:rsidRDefault="002A3294" w:rsidP="00051640">
      <w:pPr>
        <w:pStyle w:val="Akapitzlist"/>
        <w:numPr>
          <w:ilvl w:val="0"/>
          <w:numId w:val="2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="005B7D0E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przetwarza Dane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Abonentów </w:t>
      </w:r>
      <w:r w:rsidR="005B7D0E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wyłącznie w zakresie i</w:t>
      </w:r>
      <w:r w:rsidR="00E81DC0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</w:t>
      </w:r>
      <w:r w:rsidR="005B7D0E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celu niezbędnym do wykonania przedmiotu Umowy,</w:t>
      </w:r>
      <w:r w:rsidR="00E81DC0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według potrzeb, </w:t>
      </w:r>
      <w:r w:rsidR="005B7D0E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przy wykorzystaniu systemów informatycznych</w:t>
      </w:r>
      <w:r w:rsidR="00E81DC0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="005B7D0E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jak i dokumentacji papierowej, zgodnie z </w:t>
      </w:r>
      <w:r w:rsidR="00E81DC0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postanowieniami </w:t>
      </w:r>
      <w:r w:rsidR="005B7D0E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Umowy.</w:t>
      </w:r>
    </w:p>
    <w:p w14:paraId="77F68006" w14:textId="64F76F6A" w:rsidR="00051640" w:rsidRPr="00051640" w:rsidRDefault="00051640" w:rsidP="00051640">
      <w:pPr>
        <w:pStyle w:val="Akapitzlist"/>
        <w:numPr>
          <w:ilvl w:val="0"/>
          <w:numId w:val="2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OSD będzie przetwarzał Dane Abonentów w celu uruchomienia, modyfikacji lub dezaktywacji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usługi BSA lub usługi LLU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 usuwania Awarii, instalacji/konserwacji/naprawy ONT, budowy/konserwacji Przyłącza lub wykonywania innych czynności niezbędnych do należytego wykonania Umowy szczegółowej</w:t>
      </w:r>
      <w:r w:rsidR="00B34895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/Zamówień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 zakresie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usługi BSA lub usługi LLU</w:t>
      </w:r>
      <w:r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lub wynikających z odrębnych zleceń OK. </w:t>
      </w:r>
    </w:p>
    <w:p w14:paraId="31531000" w14:textId="64FC32AE" w:rsidR="007A2BA3" w:rsidRPr="00E34F8C" w:rsidRDefault="00331C3B" w:rsidP="00EC0DFD">
      <w:pPr>
        <w:pStyle w:val="Akapitzlist"/>
        <w:numPr>
          <w:ilvl w:val="0"/>
          <w:numId w:val="2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OK 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upoważnia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do udzielenia imiennych upoważnień do przetwarzania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D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anych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Abonentów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pracownikom i współpracownikom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uczestniczącym w procesie przetwarzania powierzonych </w:t>
      </w:r>
      <w:r w:rsidR="00FA2080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D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anych </w:t>
      </w:r>
      <w:r w:rsidR="00FA2080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Abonentów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. </w:t>
      </w:r>
    </w:p>
    <w:p w14:paraId="5A99AD49" w14:textId="5D07ECF1" w:rsidR="007A2BA3" w:rsidRPr="00E34F8C" w:rsidRDefault="007A2BA3" w:rsidP="00EC0DFD">
      <w:pPr>
        <w:spacing w:after="150" w:line="247" w:lineRule="auto"/>
        <w:jc w:val="center"/>
        <w:rPr>
          <w:rFonts w:asciiTheme="majorHAnsi" w:hAnsiTheme="majorHAnsi" w:cstheme="majorHAnsi"/>
          <w:b/>
          <w:sz w:val="23"/>
          <w:szCs w:val="23"/>
        </w:rPr>
      </w:pPr>
      <w:r w:rsidRPr="00E34F8C">
        <w:rPr>
          <w:rFonts w:asciiTheme="majorHAnsi" w:hAnsiTheme="majorHAnsi" w:cstheme="majorHAnsi"/>
          <w:b/>
          <w:sz w:val="23"/>
          <w:szCs w:val="23"/>
        </w:rPr>
        <w:t xml:space="preserve">§ 3. </w:t>
      </w:r>
      <w:r w:rsidR="006F1C8E" w:rsidRPr="00E34F8C">
        <w:rPr>
          <w:rFonts w:asciiTheme="majorHAnsi" w:hAnsiTheme="majorHAnsi" w:cstheme="majorHAnsi"/>
          <w:b/>
          <w:sz w:val="23"/>
          <w:szCs w:val="23"/>
        </w:rPr>
        <w:t xml:space="preserve">Dalsze powierzenie </w:t>
      </w:r>
    </w:p>
    <w:p w14:paraId="3513F40E" w14:textId="5A541E9F" w:rsidR="00FA2080" w:rsidRPr="00E34F8C" w:rsidRDefault="00FA2080" w:rsidP="00EC0DFD">
      <w:pPr>
        <w:pStyle w:val="Akapitzlist"/>
        <w:numPr>
          <w:ilvl w:val="0"/>
          <w:numId w:val="18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 może powierzyć konkretne operacje przetwarzania Danych Abonentów w drodze pisemnej umowy podpowierzenia innym podmiotom przetwarzającym.</w:t>
      </w:r>
    </w:p>
    <w:p w14:paraId="0B9B2342" w14:textId="6EFA3AAB" w:rsidR="001C3CE7" w:rsidRPr="00E34F8C" w:rsidRDefault="00E81DC0" w:rsidP="00EC0DFD">
      <w:pPr>
        <w:pStyle w:val="Akapitzlist"/>
        <w:numPr>
          <w:ilvl w:val="0"/>
          <w:numId w:val="18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="001C3CE7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zapewni, aby </w:t>
      </w:r>
      <w:bookmarkStart w:id="1" w:name="_Hlk494669133"/>
      <w:r w:rsidR="001C3CE7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inne podmioty przetwarzające, którym </w:t>
      </w:r>
      <w:proofErr w:type="spellStart"/>
      <w:r w:rsidR="001C3CE7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podpowierzono</w:t>
      </w:r>
      <w:proofErr w:type="spellEnd"/>
      <w:r w:rsidR="001C3CE7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przetwarzanie </w:t>
      </w:r>
      <w:bookmarkEnd w:id="1"/>
      <w:r w:rsidR="001D43E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Danych Abonentów,</w:t>
      </w:r>
      <w:r w:rsidR="001C3CE7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="001D43E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stosowały</w:t>
      </w:r>
      <w:r w:rsidR="001C3CE7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co najmniej równorzędny poziom ochrony </w:t>
      </w:r>
      <w:r w:rsidR="001D43E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Danych Abonentów</w:t>
      </w:r>
      <w:r w:rsid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="001D43E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="001C3CE7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co </w:t>
      </w:r>
      <w:r w:rsidR="001D43E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="001C3CE7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.</w:t>
      </w:r>
    </w:p>
    <w:p w14:paraId="25EEA8A8" w14:textId="286DEB41" w:rsidR="007A2BA3" w:rsidRPr="00E34F8C" w:rsidRDefault="007A2BA3" w:rsidP="00EC0DFD">
      <w:pPr>
        <w:spacing w:after="150" w:line="247" w:lineRule="auto"/>
        <w:jc w:val="center"/>
        <w:rPr>
          <w:rFonts w:asciiTheme="majorHAnsi" w:hAnsiTheme="majorHAnsi" w:cstheme="majorHAnsi"/>
          <w:sz w:val="23"/>
          <w:szCs w:val="23"/>
        </w:rPr>
      </w:pPr>
      <w:r w:rsidRPr="00E34F8C">
        <w:rPr>
          <w:rFonts w:asciiTheme="majorHAnsi" w:hAnsiTheme="majorHAnsi" w:cstheme="majorHAnsi"/>
          <w:b/>
          <w:sz w:val="23"/>
          <w:szCs w:val="23"/>
        </w:rPr>
        <w:t xml:space="preserve">§ 4. </w:t>
      </w:r>
      <w:r w:rsidR="006F1C8E" w:rsidRPr="00E34F8C">
        <w:rPr>
          <w:rFonts w:asciiTheme="majorHAnsi" w:hAnsiTheme="majorHAnsi" w:cstheme="majorHAnsi"/>
          <w:b/>
          <w:sz w:val="23"/>
          <w:szCs w:val="23"/>
        </w:rPr>
        <w:t>Transgraniczne przekazywanie danych osobowych</w:t>
      </w:r>
    </w:p>
    <w:p w14:paraId="4FC8EE20" w14:textId="6FECF010" w:rsidR="007A2BA3" w:rsidRPr="00E34F8C" w:rsidRDefault="00FA2080" w:rsidP="00EC0DFD">
      <w:pPr>
        <w:spacing w:after="150" w:line="247" w:lineRule="auto"/>
        <w:rPr>
          <w:rFonts w:asciiTheme="majorHAnsi" w:hAnsiTheme="majorHAnsi" w:cstheme="majorHAnsi"/>
          <w:sz w:val="23"/>
          <w:szCs w:val="23"/>
        </w:rPr>
      </w:pPr>
      <w:r w:rsidRPr="00E34F8C">
        <w:rPr>
          <w:rFonts w:asciiTheme="majorHAnsi" w:hAnsiTheme="majorHAnsi" w:cstheme="majorHAnsi"/>
          <w:sz w:val="23"/>
          <w:szCs w:val="23"/>
        </w:rPr>
        <w:t xml:space="preserve">Przekazanie Danych Abonentów do państwa trzeciego może nastąpić jedynie na pisemne polecenie OK, </w:t>
      </w:r>
      <w:r w:rsidR="007A2BA3" w:rsidRPr="00E34F8C">
        <w:rPr>
          <w:rFonts w:asciiTheme="majorHAnsi" w:hAnsiTheme="majorHAnsi" w:cstheme="majorHAnsi"/>
          <w:sz w:val="23"/>
          <w:szCs w:val="23"/>
        </w:rPr>
        <w:t>chyba że obowiązek taki</w:t>
      </w:r>
      <w:r w:rsidR="00E82F82" w:rsidRPr="00E34F8C">
        <w:rPr>
          <w:rFonts w:asciiTheme="majorHAnsi" w:hAnsiTheme="majorHAnsi" w:cstheme="majorHAnsi"/>
          <w:sz w:val="23"/>
          <w:szCs w:val="23"/>
        </w:rPr>
        <w:t>ego przekazania</w:t>
      </w:r>
      <w:r w:rsidR="007A2BA3" w:rsidRPr="00E34F8C">
        <w:rPr>
          <w:rFonts w:asciiTheme="majorHAnsi" w:hAnsiTheme="majorHAnsi" w:cstheme="majorHAnsi"/>
          <w:sz w:val="23"/>
          <w:szCs w:val="23"/>
        </w:rPr>
        <w:t xml:space="preserve"> nakłada na </w:t>
      </w:r>
      <w:r w:rsidR="00E82F82" w:rsidRPr="00E34F8C">
        <w:rPr>
          <w:rFonts w:asciiTheme="majorHAnsi" w:hAnsiTheme="majorHAnsi" w:cstheme="majorHAnsi"/>
          <w:sz w:val="23"/>
          <w:szCs w:val="23"/>
        </w:rPr>
        <w:t xml:space="preserve">OSD </w:t>
      </w:r>
      <w:r w:rsidR="007A2BA3" w:rsidRPr="00E34F8C">
        <w:rPr>
          <w:rFonts w:asciiTheme="majorHAnsi" w:hAnsiTheme="majorHAnsi" w:cstheme="majorHAnsi"/>
          <w:sz w:val="23"/>
          <w:szCs w:val="23"/>
        </w:rPr>
        <w:t xml:space="preserve">prawo Unii </w:t>
      </w:r>
      <w:r w:rsidR="00EC0DFD" w:rsidRPr="00E34F8C">
        <w:rPr>
          <w:rFonts w:asciiTheme="majorHAnsi" w:hAnsiTheme="majorHAnsi" w:cstheme="majorHAnsi"/>
          <w:sz w:val="23"/>
          <w:szCs w:val="23"/>
        </w:rPr>
        <w:t xml:space="preserve">Europejskiej </w:t>
      </w:r>
      <w:r w:rsidR="007A2BA3" w:rsidRPr="00E34F8C">
        <w:rPr>
          <w:rFonts w:asciiTheme="majorHAnsi" w:hAnsiTheme="majorHAnsi" w:cstheme="majorHAnsi"/>
          <w:sz w:val="23"/>
          <w:szCs w:val="23"/>
        </w:rPr>
        <w:t xml:space="preserve">lub prawo państwa członkowskiego, któremu podlega </w:t>
      </w:r>
      <w:r w:rsidR="00E82F82" w:rsidRPr="00E34F8C">
        <w:rPr>
          <w:rFonts w:asciiTheme="majorHAnsi" w:hAnsiTheme="majorHAnsi" w:cstheme="majorHAnsi"/>
          <w:sz w:val="23"/>
          <w:szCs w:val="23"/>
        </w:rPr>
        <w:t>OSD</w:t>
      </w:r>
      <w:r w:rsidR="007A2BA3" w:rsidRPr="00E34F8C">
        <w:rPr>
          <w:rFonts w:asciiTheme="majorHAnsi" w:hAnsiTheme="majorHAnsi" w:cstheme="majorHAnsi"/>
          <w:sz w:val="23"/>
          <w:szCs w:val="23"/>
        </w:rPr>
        <w:t>. W takim przypadku</w:t>
      </w:r>
      <w:r w:rsidR="00EC0DFD" w:rsidRPr="00E34F8C">
        <w:rPr>
          <w:rFonts w:asciiTheme="majorHAnsi" w:hAnsiTheme="majorHAnsi" w:cstheme="majorHAnsi"/>
          <w:sz w:val="23"/>
          <w:szCs w:val="23"/>
        </w:rPr>
        <w:t>,</w:t>
      </w:r>
      <w:r w:rsidR="007A2BA3" w:rsidRPr="00E34F8C">
        <w:rPr>
          <w:rFonts w:asciiTheme="majorHAnsi" w:hAnsiTheme="majorHAnsi" w:cstheme="majorHAnsi"/>
          <w:sz w:val="23"/>
          <w:szCs w:val="23"/>
        </w:rPr>
        <w:t xml:space="preserve"> przed rozpoczęciem przetwarzania</w:t>
      </w:r>
      <w:r w:rsidR="00EC0DFD" w:rsidRPr="00E34F8C">
        <w:rPr>
          <w:rFonts w:asciiTheme="majorHAnsi" w:hAnsiTheme="majorHAnsi" w:cstheme="majorHAnsi"/>
          <w:sz w:val="23"/>
          <w:szCs w:val="23"/>
        </w:rPr>
        <w:t>,</w:t>
      </w:r>
      <w:r w:rsidR="007A2BA3" w:rsidRPr="00E34F8C">
        <w:rPr>
          <w:rFonts w:asciiTheme="majorHAnsi" w:hAnsiTheme="majorHAnsi" w:cstheme="majorHAnsi"/>
          <w:sz w:val="23"/>
          <w:szCs w:val="23"/>
        </w:rPr>
        <w:t xml:space="preserve"> </w:t>
      </w:r>
      <w:r w:rsidR="00E82F82" w:rsidRPr="00E34F8C">
        <w:rPr>
          <w:rFonts w:asciiTheme="majorHAnsi" w:hAnsiTheme="majorHAnsi" w:cstheme="majorHAnsi"/>
          <w:sz w:val="23"/>
          <w:szCs w:val="23"/>
        </w:rPr>
        <w:t xml:space="preserve">OSD </w:t>
      </w:r>
      <w:r w:rsidR="007A2BA3" w:rsidRPr="00E34F8C">
        <w:rPr>
          <w:rFonts w:asciiTheme="majorHAnsi" w:hAnsiTheme="majorHAnsi" w:cstheme="majorHAnsi"/>
          <w:sz w:val="23"/>
          <w:szCs w:val="23"/>
        </w:rPr>
        <w:t xml:space="preserve">informuje </w:t>
      </w:r>
      <w:r w:rsidR="00E82F82" w:rsidRPr="00E34F8C">
        <w:rPr>
          <w:rFonts w:asciiTheme="majorHAnsi" w:hAnsiTheme="majorHAnsi" w:cstheme="majorHAnsi"/>
          <w:sz w:val="23"/>
          <w:szCs w:val="23"/>
        </w:rPr>
        <w:t>OK</w:t>
      </w:r>
      <w:r w:rsidR="007A2BA3" w:rsidRPr="00E34F8C">
        <w:rPr>
          <w:rFonts w:asciiTheme="majorHAnsi" w:hAnsiTheme="majorHAnsi" w:cstheme="majorHAnsi"/>
          <w:sz w:val="23"/>
          <w:szCs w:val="23"/>
        </w:rPr>
        <w:t xml:space="preserve"> o tym obowiązku prawnym, o ile prawo to nie zabrania udzielania takiej informacji z</w:t>
      </w:r>
      <w:r w:rsidR="00E82F82" w:rsidRPr="00E34F8C">
        <w:rPr>
          <w:rFonts w:asciiTheme="majorHAnsi" w:hAnsiTheme="majorHAnsi" w:cstheme="majorHAnsi"/>
          <w:sz w:val="23"/>
          <w:szCs w:val="23"/>
        </w:rPr>
        <w:t> </w:t>
      </w:r>
      <w:r w:rsidR="007A2BA3" w:rsidRPr="00E34F8C">
        <w:rPr>
          <w:rFonts w:asciiTheme="majorHAnsi" w:hAnsiTheme="majorHAnsi" w:cstheme="majorHAnsi"/>
          <w:sz w:val="23"/>
          <w:szCs w:val="23"/>
        </w:rPr>
        <w:t>uwagi na ważny interes publiczny.</w:t>
      </w:r>
    </w:p>
    <w:p w14:paraId="6A642B32" w14:textId="649C5ABB" w:rsidR="007A2BA3" w:rsidRPr="00E34F8C" w:rsidRDefault="007A2BA3" w:rsidP="00EC0DFD">
      <w:pPr>
        <w:spacing w:after="150" w:line="247" w:lineRule="auto"/>
        <w:jc w:val="center"/>
        <w:rPr>
          <w:rFonts w:asciiTheme="majorHAnsi" w:hAnsiTheme="majorHAnsi" w:cstheme="majorHAnsi"/>
          <w:b/>
          <w:sz w:val="23"/>
          <w:szCs w:val="23"/>
        </w:rPr>
      </w:pPr>
      <w:r w:rsidRPr="00E34F8C">
        <w:rPr>
          <w:rFonts w:asciiTheme="majorHAnsi" w:hAnsiTheme="majorHAnsi" w:cstheme="majorHAnsi"/>
          <w:b/>
          <w:sz w:val="23"/>
          <w:szCs w:val="23"/>
        </w:rPr>
        <w:t xml:space="preserve">§ 5. </w:t>
      </w:r>
      <w:r w:rsidR="00BD0DA5" w:rsidRPr="00E34F8C">
        <w:rPr>
          <w:rFonts w:asciiTheme="majorHAnsi" w:hAnsiTheme="majorHAnsi" w:cstheme="majorHAnsi"/>
          <w:b/>
          <w:sz w:val="23"/>
          <w:szCs w:val="23"/>
        </w:rPr>
        <w:t>Oświadczenia, p</w:t>
      </w:r>
      <w:r w:rsidR="006F1C8E" w:rsidRPr="00E34F8C">
        <w:rPr>
          <w:rFonts w:asciiTheme="majorHAnsi" w:hAnsiTheme="majorHAnsi" w:cstheme="majorHAnsi"/>
          <w:b/>
          <w:sz w:val="23"/>
          <w:szCs w:val="23"/>
        </w:rPr>
        <w:t>rawa i obowiązki Stron</w:t>
      </w:r>
    </w:p>
    <w:p w14:paraId="22E88DD4" w14:textId="466013A4" w:rsidR="005B7D0E" w:rsidRPr="00E34F8C" w:rsidRDefault="005B7D0E" w:rsidP="00EC0DFD">
      <w:pPr>
        <w:pStyle w:val="Akapitzlist"/>
        <w:numPr>
          <w:ilvl w:val="0"/>
          <w:numId w:val="4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bookmarkStart w:id="2" w:name="_Hlk203142340"/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OK oświadcza</w:t>
      </w:r>
      <w:r w:rsid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i zapewnia OSD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 że jest administratorem Danych Abonentów w rozumieniu art. 4 pkt 7 RODO oraz, że jest uprawniony do ich przetwarzania w zakresie, w jakim powierza je OSD.</w:t>
      </w:r>
    </w:p>
    <w:p w14:paraId="405ABCEF" w14:textId="257E0E62" w:rsidR="003C7C9C" w:rsidRPr="00E34F8C" w:rsidRDefault="003C7C9C" w:rsidP="00EC0DFD">
      <w:pPr>
        <w:pStyle w:val="Akapitzlist"/>
        <w:numPr>
          <w:ilvl w:val="0"/>
          <w:numId w:val="4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 oświadcza i zapewnia OK, że:</w:t>
      </w:r>
    </w:p>
    <w:bookmarkEnd w:id="2"/>
    <w:p w14:paraId="740F0472" w14:textId="77777777" w:rsidR="003C7C9C" w:rsidRPr="00E34F8C" w:rsidRDefault="003C7C9C" w:rsidP="00EC0DFD">
      <w:pPr>
        <w:pStyle w:val="Akapitzlist"/>
        <w:numPr>
          <w:ilvl w:val="0"/>
          <w:numId w:val="3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lastRenderedPageBreak/>
        <w:t>wdrożył odpowiednie środki techniczne i organizacyjne zapewniające stopień bezpieczeństwa, o którym mowa w art. 32 RODO, odpowiadający ryzyku wiążącemu się z powierzeniem mu Danych Abonentów do przetwarzania;</w:t>
      </w:r>
    </w:p>
    <w:p w14:paraId="40244D2B" w14:textId="4C62A44B" w:rsidR="003C7C9C" w:rsidRPr="00E34F8C" w:rsidRDefault="003C7C9C" w:rsidP="00EC0DFD">
      <w:pPr>
        <w:pStyle w:val="Akapitzlist"/>
        <w:numPr>
          <w:ilvl w:val="0"/>
          <w:numId w:val="3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będzie stosował się do ewentualnych wskazówek lub zaleceń, wydawanych przez organ nadzoru zajmujący się ochroną danych osobowych, dotyczących przetwarzania danych osobowych, w szczególności w zakresie stosowania RODO</w:t>
      </w:r>
      <w:r w:rsidR="00EA2380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.</w:t>
      </w:r>
    </w:p>
    <w:p w14:paraId="3FA5513A" w14:textId="674ACB00" w:rsidR="008B2EED" w:rsidRPr="00E34F8C" w:rsidRDefault="008B2EED" w:rsidP="00EC0DFD">
      <w:pPr>
        <w:pStyle w:val="Akapitzlist"/>
        <w:numPr>
          <w:ilvl w:val="0"/>
          <w:numId w:val="4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OSD w zakresie przetwarzania Danych Abonentów jest zobowiązany do przestrzegania przepisów powszechnie obowiązującego prawa, w szczególności RODO i </w:t>
      </w:r>
      <w:proofErr w:type="spellStart"/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Pke</w:t>
      </w:r>
      <w:proofErr w:type="spellEnd"/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. Takie same zobowiązania przyjmuje na siebie OK.</w:t>
      </w:r>
    </w:p>
    <w:p w14:paraId="1FDA1ABF" w14:textId="02A176EB" w:rsidR="007A2BA3" w:rsidRPr="00E34F8C" w:rsidRDefault="008B2EED" w:rsidP="00EC0DFD">
      <w:pPr>
        <w:pStyle w:val="Akapitzlist"/>
        <w:numPr>
          <w:ilvl w:val="0"/>
          <w:numId w:val="4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Niezależnie od innych zobowiązań określonych w Umowie PPDO, OSD 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jest zobowiązany do:</w:t>
      </w:r>
    </w:p>
    <w:p w14:paraId="44C85A34" w14:textId="7948679D" w:rsidR="008B2EED" w:rsidRPr="00E34F8C" w:rsidRDefault="008B2EED" w:rsidP="00EC0DFD">
      <w:pPr>
        <w:pStyle w:val="Akapitzlist"/>
        <w:numPr>
          <w:ilvl w:val="0"/>
          <w:numId w:val="5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przetwarzania Danych Abonentów wyłącznie na udokumentowane polecenie OK – co dotyczy też przekazywania Danych Abonentów do państw spoza obszaru Unii Europejskiej lub organizacji międzynarodowej</w:t>
      </w:r>
      <w:r w:rsidR="00EA2380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-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przy czym </w:t>
      </w:r>
      <w:r w:rsidR="00EA2380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złożenie Zamówienia na usługę BSA lub usługę LLU, ewentualnie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zawarcie Umowy </w:t>
      </w:r>
      <w:r w:rsidR="00EA2380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(w zależności od tego, co nastąpi później)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stanowi polecenie OK do rozpoczęcia przetwarzania </w:t>
      </w:r>
      <w:r w:rsidR="00EA2380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Danych Abonentów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przez OSD w zakresie wskazanym w § 2 ust. 1 Umowy PPDO;</w:t>
      </w:r>
    </w:p>
    <w:p w14:paraId="553968C9" w14:textId="7631265E" w:rsidR="008B2EED" w:rsidRPr="00E34F8C" w:rsidRDefault="008B2EED" w:rsidP="00EC0DFD">
      <w:pPr>
        <w:pStyle w:val="Akapitzlist"/>
        <w:numPr>
          <w:ilvl w:val="0"/>
          <w:numId w:val="5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ochrony Danych Abonentów;</w:t>
      </w:r>
    </w:p>
    <w:p w14:paraId="1675D671" w14:textId="3B89EB2B" w:rsidR="008B2EED" w:rsidRPr="00E34F8C" w:rsidRDefault="008B2EED" w:rsidP="00EC0DFD">
      <w:pPr>
        <w:pStyle w:val="Akapitzlist"/>
        <w:numPr>
          <w:ilvl w:val="0"/>
          <w:numId w:val="5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zastosowania przy przetwarzaniu Danych Abonentów </w:t>
      </w:r>
      <w:r w:rsidR="00CB6BB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adekwatnych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środków technicznych i organizacyjnych </w:t>
      </w:r>
      <w:r w:rsidR="00CB6BB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spośród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przewidzianych w art. 32-36 RODO;</w:t>
      </w:r>
    </w:p>
    <w:p w14:paraId="41B06459" w14:textId="7F41A571" w:rsidR="008B2EED" w:rsidRPr="00E34F8C" w:rsidRDefault="008B2EED" w:rsidP="00EC0DFD">
      <w:pPr>
        <w:pStyle w:val="Akapitzlist"/>
        <w:numPr>
          <w:ilvl w:val="0"/>
          <w:numId w:val="5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w miarę możliwości pomagania OK</w:t>
      </w:r>
      <w:r w:rsidR="00CB6BB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poprzez odpowiednie środki techniczne i</w:t>
      </w:r>
      <w:r w:rsidR="00CB6BB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 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organizacyjne</w:t>
      </w:r>
      <w:r w:rsidR="00CB6BB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="00CB6BB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w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wywiąza</w:t>
      </w:r>
      <w:r w:rsidR="00CB6BB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niu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się z obowiązku odpowiadania na żądania os</w:t>
      </w:r>
      <w:r w:rsidR="00CB6BB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ób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 któr</w:t>
      </w:r>
      <w:r w:rsidR="00CB6BB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ych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dane dotyczą, w zakresie wykonywania </w:t>
      </w:r>
      <w:r w:rsidR="00CB6BB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ich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praw określonych w </w:t>
      </w:r>
      <w:r w:rsidR="00CB6BB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art. 12-22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RODO;</w:t>
      </w:r>
    </w:p>
    <w:p w14:paraId="2706861F" w14:textId="5F99B264" w:rsidR="008B2EED" w:rsidRPr="00E34F8C" w:rsidRDefault="008B2EED" w:rsidP="00EC0DFD">
      <w:pPr>
        <w:pStyle w:val="Akapitzlist"/>
        <w:numPr>
          <w:ilvl w:val="0"/>
          <w:numId w:val="5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udostępniania </w:t>
      </w:r>
      <w:r w:rsid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OK lub organom administracji publicznej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wszelkich informacji niezbędnych do wykazania spełnienia </w:t>
      </w:r>
      <w:r w:rsidRPr="00E34F8C">
        <w:rPr>
          <w:rFonts w:asciiTheme="majorHAnsi" w:eastAsiaTheme="majorEastAsia" w:hAnsiTheme="majorHAnsi" w:cstheme="majorHAnsi"/>
          <w:bCs/>
          <w:sz w:val="23"/>
          <w:szCs w:val="23"/>
        </w:rPr>
        <w:t>obowiązków określonych w art. 28 RODO;</w:t>
      </w:r>
    </w:p>
    <w:p w14:paraId="40541A4B" w14:textId="1D804844" w:rsidR="008B2EED" w:rsidRPr="00E34F8C" w:rsidRDefault="008B2EED" w:rsidP="00061F11">
      <w:pPr>
        <w:pStyle w:val="Akapitzlist"/>
        <w:numPr>
          <w:ilvl w:val="0"/>
          <w:numId w:val="5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sz w:val="23"/>
          <w:szCs w:val="23"/>
        </w:rPr>
        <w:t>umożliwienia OK lub audytorowi upoważnionemu przez OK przeprowadzani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t>a</w:t>
      </w:r>
      <w:r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audytów, w tym inspekcji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t>,</w:t>
      </w:r>
      <w:r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w zakresie dotyczącym 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t>przedmiotu Umowy PPDO</w:t>
      </w:r>
      <w:r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i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t> </w:t>
      </w:r>
      <w:r w:rsidRPr="00E34F8C">
        <w:rPr>
          <w:rFonts w:asciiTheme="majorHAnsi" w:eastAsiaTheme="majorEastAsia" w:hAnsiTheme="majorHAnsi" w:cstheme="majorHAnsi"/>
          <w:bCs/>
          <w:sz w:val="23"/>
          <w:szCs w:val="23"/>
        </w:rPr>
        <w:t>zapewni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t>enia</w:t>
      </w:r>
      <w:r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współprac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t>y</w:t>
      </w:r>
      <w:r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w tym zakresie. Koszty audytu ponosi każda ze Stron we własnym zakresie, niezależnie od jego wyniku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>. W związku z przeprowadzonym audytem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t>, OK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lub upoważniony przez 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t>OK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podmiot zewnętrzny jest zobowiązany do zachowania tajemnicy przedsiębiorstwa 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t>OSD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. W tym celu 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t>zostanie zawarta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</w:t>
      </w:r>
      <w:r w:rsidR="004B4266">
        <w:rPr>
          <w:rFonts w:asciiTheme="majorHAnsi" w:eastAsiaTheme="majorEastAsia" w:hAnsiTheme="majorHAnsi" w:cstheme="majorHAnsi"/>
          <w:bCs/>
          <w:sz w:val="23"/>
          <w:szCs w:val="23"/>
        </w:rPr>
        <w:t xml:space="preserve">odpowiednia 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>umow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t>a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o zachowaniu poufności. 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t>OK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powiadomi 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t>OSD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o zamiarze przeprowadzania audytu z</w:t>
      </w:r>
      <w:r w:rsidR="00AF627F" w:rsidRPr="00E34F8C">
        <w:rPr>
          <w:rFonts w:asciiTheme="majorHAnsi" w:eastAsiaTheme="majorEastAsia" w:hAnsiTheme="majorHAnsi" w:cstheme="majorHAnsi"/>
          <w:bCs/>
          <w:sz w:val="23"/>
          <w:szCs w:val="23"/>
        </w:rPr>
        <w:t> 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>wyprzedzeniem, nie krótszym niż: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>14 dni kalendarzowych w przypadku audytów okresowych;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</w:t>
      </w:r>
      <w:r w:rsidR="004B4266">
        <w:rPr>
          <w:rFonts w:asciiTheme="majorHAnsi" w:eastAsiaTheme="majorEastAsia" w:hAnsiTheme="majorHAnsi" w:cstheme="majorHAnsi"/>
          <w:bCs/>
          <w:sz w:val="23"/>
          <w:szCs w:val="23"/>
        </w:rPr>
        <w:t>5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t>DR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</w:t>
      </w:r>
      <w:r w:rsidR="00AF627F" w:rsidRPr="00E34F8C">
        <w:rPr>
          <w:rFonts w:asciiTheme="majorHAnsi" w:eastAsiaTheme="majorEastAsia" w:hAnsiTheme="majorHAnsi" w:cstheme="majorHAnsi"/>
          <w:bCs/>
          <w:sz w:val="23"/>
          <w:szCs w:val="23"/>
        </w:rPr>
        <w:t>(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>lub krótszym wynikającym z żądania organu administracji p</w:t>
      </w:r>
      <w:r w:rsidR="00AF627F" w:rsidRPr="00E34F8C">
        <w:rPr>
          <w:rFonts w:asciiTheme="majorHAnsi" w:eastAsiaTheme="majorEastAsia" w:hAnsiTheme="majorHAnsi" w:cstheme="majorHAnsi"/>
          <w:bCs/>
          <w:sz w:val="23"/>
          <w:szCs w:val="23"/>
        </w:rPr>
        <w:t>ublicznej)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w przypadku wystąpienia naruszenia ochrony </w:t>
      </w:r>
      <w:r w:rsidR="00E46589" w:rsidRPr="00E34F8C">
        <w:rPr>
          <w:rFonts w:asciiTheme="majorHAnsi" w:eastAsiaTheme="majorEastAsia" w:hAnsiTheme="majorHAnsi" w:cstheme="majorHAnsi"/>
          <w:bCs/>
          <w:sz w:val="23"/>
          <w:szCs w:val="23"/>
        </w:rPr>
        <w:t>Danych Abonentów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lub konieczności udzielenia informacji przez </w:t>
      </w:r>
      <w:r w:rsidR="00AF627F" w:rsidRPr="00E34F8C">
        <w:rPr>
          <w:rFonts w:asciiTheme="majorHAnsi" w:eastAsiaTheme="majorEastAsia" w:hAnsiTheme="majorHAnsi" w:cstheme="majorHAnsi"/>
          <w:bCs/>
          <w:sz w:val="23"/>
          <w:szCs w:val="23"/>
        </w:rPr>
        <w:t>OK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organom administracji p</w:t>
      </w:r>
      <w:r w:rsidR="00AF627F" w:rsidRPr="00E34F8C">
        <w:rPr>
          <w:rFonts w:asciiTheme="majorHAnsi" w:eastAsiaTheme="majorEastAsia" w:hAnsiTheme="majorHAnsi" w:cstheme="majorHAnsi"/>
          <w:bCs/>
          <w:sz w:val="23"/>
          <w:szCs w:val="23"/>
        </w:rPr>
        <w:t>ubliczne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>j (w</w:t>
      </w:r>
      <w:r w:rsidR="00AF627F" w:rsidRPr="00E34F8C">
        <w:rPr>
          <w:rFonts w:asciiTheme="majorHAnsi" w:eastAsiaTheme="majorEastAsia" w:hAnsiTheme="majorHAnsi" w:cstheme="majorHAnsi"/>
          <w:bCs/>
          <w:sz w:val="23"/>
          <w:szCs w:val="23"/>
        </w:rPr>
        <w:t> 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>szczególności Prezesowi Urzędu Ochrony Danych Osobowych)</w:t>
      </w:r>
      <w:r w:rsidR="00AF627F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t>-</w:t>
      </w:r>
      <w:r w:rsidR="00AF627F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podając dane osób upoważnionych do </w:t>
      </w:r>
      <w:r w:rsidR="00AF627F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wykonania 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>audytu.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Audyty będą przeprowadzane w dni robocze w godzinach pracy </w:t>
      </w:r>
      <w:r w:rsidR="00AF627F" w:rsidRPr="00E34F8C">
        <w:rPr>
          <w:rFonts w:asciiTheme="majorHAnsi" w:eastAsiaTheme="majorEastAsia" w:hAnsiTheme="majorHAnsi" w:cstheme="majorHAnsi"/>
          <w:bCs/>
          <w:sz w:val="23"/>
          <w:szCs w:val="23"/>
        </w:rPr>
        <w:t>OSD</w:t>
      </w:r>
      <w:r w:rsidR="001C3CE7" w:rsidRPr="00E34F8C">
        <w:rPr>
          <w:rFonts w:asciiTheme="majorHAnsi" w:eastAsiaTheme="majorEastAsia" w:hAnsiTheme="majorHAnsi" w:cstheme="majorHAnsi"/>
          <w:bCs/>
          <w:sz w:val="23"/>
          <w:szCs w:val="23"/>
        </w:rPr>
        <w:t>, nie częściej niż jeden raz w danym roku kalendarzowym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, chyba że z żądania organu 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lastRenderedPageBreak/>
        <w:t>administracji p</w:t>
      </w:r>
      <w:r w:rsidR="00AF627F" w:rsidRPr="00E34F8C">
        <w:rPr>
          <w:rFonts w:asciiTheme="majorHAnsi" w:eastAsiaTheme="majorEastAsia" w:hAnsiTheme="majorHAnsi" w:cstheme="majorHAnsi"/>
          <w:bCs/>
          <w:sz w:val="23"/>
          <w:szCs w:val="23"/>
        </w:rPr>
        <w:t>ublicznej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będzie wynikała potrzeba przeprowadzenia audytu w</w:t>
      </w:r>
      <w:r w:rsidR="004B4266">
        <w:rPr>
          <w:rFonts w:asciiTheme="majorHAnsi" w:eastAsiaTheme="majorEastAsia" w:hAnsiTheme="majorHAnsi" w:cstheme="majorHAnsi"/>
          <w:bCs/>
          <w:sz w:val="23"/>
          <w:szCs w:val="23"/>
        </w:rPr>
        <w:t> </w:t>
      </w:r>
      <w:r w:rsidR="00CB6BB8" w:rsidRPr="00E34F8C">
        <w:rPr>
          <w:rFonts w:asciiTheme="majorHAnsi" w:eastAsiaTheme="majorEastAsia" w:hAnsiTheme="majorHAnsi" w:cstheme="majorHAnsi"/>
          <w:bCs/>
          <w:sz w:val="23"/>
          <w:szCs w:val="23"/>
        </w:rPr>
        <w:t>częstszych okresach</w:t>
      </w:r>
      <w:r w:rsidR="00BA2BA8" w:rsidRPr="00E34F8C">
        <w:rPr>
          <w:rFonts w:asciiTheme="majorHAnsi" w:eastAsiaTheme="majorEastAsia" w:hAnsiTheme="majorHAnsi" w:cstheme="majorHAnsi"/>
          <w:bCs/>
          <w:sz w:val="23"/>
          <w:szCs w:val="23"/>
        </w:rPr>
        <w:t>. OSD uprawniony jest do niewyrażenia zgody na udział  w</w:t>
      </w:r>
      <w:r w:rsidR="004B4266">
        <w:rPr>
          <w:rFonts w:asciiTheme="majorHAnsi" w:eastAsiaTheme="majorEastAsia" w:hAnsiTheme="majorHAnsi" w:cstheme="majorHAnsi"/>
          <w:bCs/>
          <w:sz w:val="23"/>
          <w:szCs w:val="23"/>
        </w:rPr>
        <w:t> </w:t>
      </w:r>
      <w:r w:rsidR="00BA2BA8" w:rsidRPr="00E34F8C">
        <w:rPr>
          <w:rFonts w:asciiTheme="majorHAnsi" w:eastAsiaTheme="majorEastAsia" w:hAnsiTheme="majorHAnsi" w:cstheme="majorHAnsi"/>
          <w:bCs/>
          <w:sz w:val="23"/>
          <w:szCs w:val="23"/>
        </w:rPr>
        <w:t>procesie audytu w pomieszczeniach, dokumentacji lub systemach OSD przez osoby trzecie, inne niż uprawnione organy, w szczególności zaś przez podmioty prowadzące działalność konkurencyjną w stosunku do działalności OSD;</w:t>
      </w:r>
    </w:p>
    <w:p w14:paraId="75819093" w14:textId="005B88ED" w:rsidR="008B2EED" w:rsidRPr="00E34F8C" w:rsidRDefault="008B2EED" w:rsidP="00EC0DFD">
      <w:pPr>
        <w:pStyle w:val="Akapitzlist"/>
        <w:numPr>
          <w:ilvl w:val="0"/>
          <w:numId w:val="5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sz w:val="23"/>
          <w:szCs w:val="23"/>
        </w:rPr>
        <w:t>po zakończeniu</w:t>
      </w:r>
      <w:r w:rsidR="00E46589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obowiązywania</w:t>
      </w:r>
      <w:r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Umowy </w:t>
      </w:r>
      <w:r w:rsidR="00E46589" w:rsidRPr="00E34F8C">
        <w:rPr>
          <w:rFonts w:asciiTheme="majorHAnsi" w:eastAsiaTheme="majorEastAsia" w:hAnsiTheme="majorHAnsi" w:cstheme="majorHAnsi"/>
          <w:bCs/>
          <w:sz w:val="23"/>
          <w:szCs w:val="23"/>
        </w:rPr>
        <w:t>PPDO</w:t>
      </w:r>
      <w:r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, w zależności od żądania OK, usunięcia lub zwrotu Danych Abonentów i usunięcia ich kopii, chyba że przepisy powszechnie obowiązującego prawa przewidują inne zasady postępowania; </w:t>
      </w:r>
    </w:p>
    <w:p w14:paraId="7A711BE3" w14:textId="5B31C8CF" w:rsidR="008B2EED" w:rsidRPr="00E34F8C" w:rsidRDefault="008B2EED" w:rsidP="00EC0DFD">
      <w:pPr>
        <w:pStyle w:val="Akapitzlist"/>
        <w:numPr>
          <w:ilvl w:val="0"/>
          <w:numId w:val="5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sz w:val="23"/>
          <w:szCs w:val="23"/>
        </w:rPr>
        <w:t>prowadzenia dokumentacji opisującej sposób przetwarzania Danych Abonentów, w</w:t>
      </w:r>
      <w:r w:rsidR="00BA2BA8" w:rsidRPr="00E34F8C">
        <w:rPr>
          <w:rFonts w:asciiTheme="majorHAnsi" w:eastAsiaTheme="majorEastAsia" w:hAnsiTheme="majorHAnsi" w:cstheme="majorHAnsi"/>
          <w:bCs/>
          <w:sz w:val="23"/>
          <w:szCs w:val="23"/>
        </w:rPr>
        <w:t> </w:t>
      </w:r>
      <w:r w:rsidRPr="00E34F8C">
        <w:rPr>
          <w:rFonts w:asciiTheme="majorHAnsi" w:eastAsiaTheme="majorEastAsia" w:hAnsiTheme="majorHAnsi" w:cstheme="majorHAnsi"/>
          <w:bCs/>
          <w:sz w:val="23"/>
          <w:szCs w:val="23"/>
        </w:rPr>
        <w:t>tym rejestru czynności przetwarzania Danych Abonentów</w:t>
      </w:r>
      <w:r w:rsidR="00A129DC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oraz </w:t>
      </w:r>
      <w:r w:rsidR="00A129DC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rejestru wszystkich kategorii czynności przetwarzania, dokonywanych w imieniu OK</w:t>
      </w:r>
      <w:r w:rsidRPr="00E34F8C">
        <w:rPr>
          <w:rFonts w:asciiTheme="majorHAnsi" w:eastAsiaTheme="majorEastAsia" w:hAnsiTheme="majorHAnsi" w:cstheme="majorHAnsi"/>
          <w:bCs/>
          <w:sz w:val="23"/>
          <w:szCs w:val="23"/>
        </w:rPr>
        <w:t>. OSD udostępni na żądanie OK prowadzony rejestr czynności przetwarzania Danych Abonentów</w:t>
      </w:r>
      <w:r w:rsidR="00BA2BA8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oraz </w:t>
      </w:r>
      <w:r w:rsidR="00A129DC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rejestr kategorii czynności przetwarzania danych OSD, z</w:t>
      </w:r>
      <w:r w:rsidR="00BA2BA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 </w:t>
      </w:r>
      <w:r w:rsidR="00A129DC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wyłączeniem informacji stanowiących tajemnicę handlową innych klientów OSD;</w:t>
      </w:r>
    </w:p>
    <w:p w14:paraId="056C4758" w14:textId="2CE446FE" w:rsidR="007A2BA3" w:rsidRPr="00E34F8C" w:rsidRDefault="007A2BA3" w:rsidP="00EC0DFD">
      <w:pPr>
        <w:pStyle w:val="Akapitzlist"/>
        <w:numPr>
          <w:ilvl w:val="0"/>
          <w:numId w:val="5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sz w:val="23"/>
          <w:szCs w:val="23"/>
        </w:rPr>
        <w:t>zgłaszania</w:t>
      </w:r>
      <w:r w:rsidR="008B2EED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OK</w:t>
      </w:r>
      <w:r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 wszelkich prób lub podejrzeń naruszenia bezpieczeństwa </w:t>
      </w:r>
      <w:r w:rsidR="00563800"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Danych Abonentów </w:t>
      </w:r>
      <w:r w:rsidRPr="00E34F8C">
        <w:rPr>
          <w:rFonts w:asciiTheme="majorHAnsi" w:eastAsiaTheme="majorEastAsia" w:hAnsiTheme="majorHAnsi" w:cstheme="majorHAnsi"/>
          <w:bCs/>
          <w:sz w:val="23"/>
          <w:szCs w:val="23"/>
        </w:rPr>
        <w:t xml:space="preserve">w systemach teleinformatycznych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lub w każdej innej formie;</w:t>
      </w:r>
    </w:p>
    <w:p w14:paraId="55FC0105" w14:textId="576B82BF" w:rsidR="007A2BA3" w:rsidRPr="00E34F8C" w:rsidRDefault="007A2BA3" w:rsidP="00EC0DFD">
      <w:pPr>
        <w:pStyle w:val="Akapitzlist"/>
        <w:numPr>
          <w:ilvl w:val="0"/>
          <w:numId w:val="5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poinformowania </w:t>
      </w:r>
      <w:r w:rsidR="00563800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OK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o jakimkolwiek postępowaniu, w szczególności administracyjnym lub sądowym, dotyczącym przetwarzania </w:t>
      </w:r>
      <w:r w:rsidR="00563800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Danych Abonentów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;</w:t>
      </w:r>
    </w:p>
    <w:p w14:paraId="435D0595" w14:textId="1E30EAC8" w:rsidR="007A2BA3" w:rsidRPr="00E34F8C" w:rsidRDefault="007A2BA3" w:rsidP="00EC0DFD">
      <w:pPr>
        <w:pStyle w:val="Akapitzlist"/>
        <w:numPr>
          <w:ilvl w:val="0"/>
          <w:numId w:val="5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zachowania w tajemnicy </w:t>
      </w:r>
      <w:r w:rsidR="005B7D0E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Danych Abonentów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(także przez osoby upoważnione do przetwarzania </w:t>
      </w:r>
      <w:r w:rsidR="00BA2BA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Danych Abonentów</w:t>
      </w:r>
      <w:r w:rsidR="005B7D0E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)</w:t>
      </w:r>
      <w:r w:rsidR="00BA2BA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;</w:t>
      </w:r>
    </w:p>
    <w:p w14:paraId="62ABFC92" w14:textId="19D9C3DC" w:rsidR="007A2BA3" w:rsidRPr="00E34F8C" w:rsidRDefault="007A2BA3" w:rsidP="00EC0DFD">
      <w:pPr>
        <w:pStyle w:val="Akapitzlist"/>
        <w:numPr>
          <w:ilvl w:val="0"/>
          <w:numId w:val="5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współpracy z </w:t>
      </w:r>
      <w:r w:rsidR="00563800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OK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 razie prowadzenia kontroli w zakresie przetwarzania </w:t>
      </w:r>
      <w:r w:rsidR="00563800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Danych Abonentów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przez uprawniony organ</w:t>
      </w:r>
      <w:r w:rsidR="00BA2BA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;</w:t>
      </w:r>
      <w:r w:rsidR="00563800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</w:p>
    <w:p w14:paraId="14579918" w14:textId="523B99C6" w:rsidR="007A2BA3" w:rsidRPr="00E34F8C" w:rsidRDefault="007A2BA3" w:rsidP="00EC0DFD">
      <w:pPr>
        <w:pStyle w:val="Akapitzlist"/>
        <w:numPr>
          <w:ilvl w:val="0"/>
          <w:numId w:val="5"/>
        </w:numPr>
        <w:spacing w:after="150" w:line="247" w:lineRule="auto"/>
        <w:contextualSpacing w:val="0"/>
        <w:rPr>
          <w:rFonts w:asciiTheme="majorHAnsi" w:hAnsiTheme="majorHAnsi" w:cstheme="majorHAnsi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przeszkolenia wszystkich osób, którym mają być nadane upoważnienia i polecenia do przetwarzania </w:t>
      </w:r>
      <w:r w:rsidR="00563800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Danych Abonentów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 z tematyki ochrony danych osobowych oraz odpowiedzialności z tytułu nieprzestrzegania przepisów regulujących ochronę danych osobowych</w:t>
      </w:r>
      <w:r w:rsidR="00563800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;</w:t>
      </w:r>
    </w:p>
    <w:p w14:paraId="784EEFA9" w14:textId="6FD50A1A" w:rsidR="00563800" w:rsidRPr="00E34F8C" w:rsidRDefault="00563800" w:rsidP="00EC0DFD">
      <w:pPr>
        <w:pStyle w:val="Akapitzlist"/>
        <w:numPr>
          <w:ilvl w:val="0"/>
          <w:numId w:val="5"/>
        </w:numPr>
        <w:spacing w:after="150" w:line="247" w:lineRule="auto"/>
        <w:contextualSpacing w:val="0"/>
        <w:rPr>
          <w:rFonts w:asciiTheme="majorHAnsi" w:hAnsiTheme="majorHAnsi" w:cstheme="majorHAnsi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zobowiązania osób, którym mają być nadane upoważnienia i polecenia</w:t>
      </w:r>
      <w:r w:rsidR="00BA2BA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do przetwarzania Danych Abonentów</w:t>
      </w:r>
      <w:r w:rsidR="00BA2BA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i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do zachowania Danych Abonentów w</w:t>
      </w:r>
      <w:r w:rsidR="004B4266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 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poufności.</w:t>
      </w:r>
    </w:p>
    <w:p w14:paraId="61C044B6" w14:textId="085D1042" w:rsidR="007A2BA3" w:rsidRPr="00E34F8C" w:rsidRDefault="00A129DC" w:rsidP="00EC0DFD">
      <w:pPr>
        <w:pStyle w:val="Akapitzlist"/>
        <w:numPr>
          <w:ilvl w:val="0"/>
          <w:numId w:val="4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OK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zobowiązany jest do pełnej współpracy z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 celu należytego wykonywania zobowiązań opisanych w Umowie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PPDO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oraz</w:t>
      </w:r>
      <w:r w:rsidR="00BA2BA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niezwłocznego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udzielania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niezbędnych informacji, w</w:t>
      </w:r>
      <w:r w:rsidR="00BA2BA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 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sytuacji, gdy jest to konieczne dla prawidłowego wykonywania Umowy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PPDO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.</w:t>
      </w:r>
    </w:p>
    <w:p w14:paraId="1867B554" w14:textId="354210F4" w:rsidR="007A2BA3" w:rsidRPr="00E34F8C" w:rsidRDefault="007A2BA3" w:rsidP="00EC0DFD">
      <w:pPr>
        <w:spacing w:after="150" w:line="247" w:lineRule="auto"/>
        <w:jc w:val="center"/>
        <w:rPr>
          <w:rFonts w:asciiTheme="majorHAnsi" w:hAnsiTheme="majorHAnsi" w:cstheme="majorHAnsi"/>
          <w:b/>
          <w:sz w:val="23"/>
          <w:szCs w:val="23"/>
        </w:rPr>
      </w:pPr>
      <w:r w:rsidRPr="00E34F8C">
        <w:rPr>
          <w:rFonts w:asciiTheme="majorHAnsi" w:hAnsiTheme="majorHAnsi" w:cstheme="majorHAnsi"/>
          <w:b/>
          <w:sz w:val="23"/>
          <w:szCs w:val="23"/>
        </w:rPr>
        <w:t>§ 6.</w:t>
      </w:r>
      <w:r w:rsidR="00811EBD" w:rsidRPr="00E34F8C">
        <w:rPr>
          <w:rFonts w:asciiTheme="majorHAnsi" w:hAnsiTheme="majorHAnsi" w:cstheme="majorHAnsi"/>
          <w:b/>
          <w:sz w:val="23"/>
          <w:szCs w:val="23"/>
        </w:rPr>
        <w:t xml:space="preserve"> </w:t>
      </w:r>
      <w:r w:rsidR="003C7C9C" w:rsidRPr="00E34F8C">
        <w:rPr>
          <w:rFonts w:asciiTheme="majorHAnsi" w:hAnsiTheme="majorHAnsi" w:cstheme="majorHAnsi"/>
          <w:b/>
          <w:sz w:val="23"/>
          <w:szCs w:val="23"/>
        </w:rPr>
        <w:t>Uprawnienia kontrolne OK</w:t>
      </w:r>
    </w:p>
    <w:p w14:paraId="5DA41B06" w14:textId="26061ABC" w:rsidR="007A2BA3" w:rsidRDefault="00811EBD" w:rsidP="00EC0DFD">
      <w:pPr>
        <w:suppressAutoHyphens/>
        <w:spacing w:after="150" w:line="247" w:lineRule="auto"/>
        <w:rPr>
          <w:rFonts w:asciiTheme="majorHAnsi" w:hAnsiTheme="majorHAnsi" w:cstheme="majorHAnsi"/>
          <w:sz w:val="23"/>
          <w:szCs w:val="23"/>
        </w:rPr>
      </w:pPr>
      <w:r w:rsidRPr="00E34F8C">
        <w:rPr>
          <w:rFonts w:asciiTheme="majorHAnsi" w:hAnsiTheme="majorHAnsi" w:cstheme="majorHAnsi"/>
          <w:sz w:val="23"/>
          <w:szCs w:val="23"/>
        </w:rPr>
        <w:t xml:space="preserve">OK </w:t>
      </w:r>
      <w:r w:rsidR="007A2BA3" w:rsidRPr="00E34F8C">
        <w:rPr>
          <w:rFonts w:asciiTheme="majorHAnsi" w:hAnsiTheme="majorHAnsi" w:cstheme="majorHAnsi"/>
          <w:sz w:val="23"/>
          <w:szCs w:val="23"/>
        </w:rPr>
        <w:t xml:space="preserve">przysługuje prawo kontroli </w:t>
      </w:r>
      <w:r w:rsidRPr="00E34F8C">
        <w:rPr>
          <w:rFonts w:asciiTheme="majorHAnsi" w:hAnsiTheme="majorHAnsi" w:cstheme="majorHAnsi"/>
          <w:sz w:val="23"/>
          <w:szCs w:val="23"/>
        </w:rPr>
        <w:t xml:space="preserve">OSD </w:t>
      </w:r>
      <w:r w:rsidR="007A2BA3" w:rsidRPr="00E34F8C">
        <w:rPr>
          <w:rFonts w:asciiTheme="majorHAnsi" w:hAnsiTheme="majorHAnsi" w:cstheme="majorHAnsi"/>
          <w:sz w:val="23"/>
          <w:szCs w:val="23"/>
        </w:rPr>
        <w:t>w zakresie prawidłowości wykonywania obowiązków wynikających z  Umowy</w:t>
      </w:r>
      <w:r w:rsidRPr="00E34F8C">
        <w:rPr>
          <w:rFonts w:asciiTheme="majorHAnsi" w:hAnsiTheme="majorHAnsi" w:cstheme="majorHAnsi"/>
          <w:sz w:val="23"/>
          <w:szCs w:val="23"/>
        </w:rPr>
        <w:t xml:space="preserve"> PPDO</w:t>
      </w:r>
      <w:r w:rsidR="007A2BA3" w:rsidRPr="00E34F8C">
        <w:rPr>
          <w:rFonts w:asciiTheme="majorHAnsi" w:hAnsiTheme="majorHAnsi" w:cstheme="majorHAnsi"/>
          <w:sz w:val="23"/>
          <w:szCs w:val="23"/>
        </w:rPr>
        <w:t xml:space="preserve">. </w:t>
      </w:r>
      <w:r w:rsidRPr="00E34F8C">
        <w:rPr>
          <w:rFonts w:asciiTheme="majorHAnsi" w:hAnsiTheme="majorHAnsi" w:cstheme="majorHAnsi"/>
          <w:sz w:val="23"/>
          <w:szCs w:val="23"/>
        </w:rPr>
        <w:t>OSD</w:t>
      </w:r>
      <w:r w:rsidR="00BA2BA8" w:rsidRPr="00E34F8C">
        <w:rPr>
          <w:rFonts w:asciiTheme="majorHAnsi" w:hAnsiTheme="majorHAnsi" w:cstheme="majorHAnsi"/>
          <w:sz w:val="23"/>
          <w:szCs w:val="23"/>
        </w:rPr>
        <w:t>,</w:t>
      </w:r>
      <w:r w:rsidR="007A2BA3" w:rsidRPr="00E34F8C">
        <w:rPr>
          <w:rFonts w:asciiTheme="majorHAnsi" w:hAnsiTheme="majorHAnsi" w:cstheme="majorHAnsi"/>
          <w:sz w:val="23"/>
          <w:szCs w:val="23"/>
        </w:rPr>
        <w:t xml:space="preserve"> na każdy pisemny wniosek </w:t>
      </w:r>
      <w:r w:rsidRPr="00E34F8C">
        <w:rPr>
          <w:rFonts w:asciiTheme="majorHAnsi" w:hAnsiTheme="majorHAnsi" w:cstheme="majorHAnsi"/>
          <w:sz w:val="23"/>
          <w:szCs w:val="23"/>
        </w:rPr>
        <w:t>OK</w:t>
      </w:r>
      <w:r w:rsidR="00BA2BA8" w:rsidRPr="00E34F8C">
        <w:rPr>
          <w:rFonts w:asciiTheme="majorHAnsi" w:hAnsiTheme="majorHAnsi" w:cstheme="majorHAnsi"/>
          <w:sz w:val="23"/>
          <w:szCs w:val="23"/>
        </w:rPr>
        <w:t>,</w:t>
      </w:r>
      <w:r w:rsidR="007A2BA3" w:rsidRPr="00E34F8C">
        <w:rPr>
          <w:rFonts w:asciiTheme="majorHAnsi" w:hAnsiTheme="majorHAnsi" w:cstheme="majorHAnsi"/>
          <w:sz w:val="23"/>
          <w:szCs w:val="23"/>
        </w:rPr>
        <w:t xml:space="preserve"> zobowiązany jest do udzielenia pisemnej informacji dotyczącej przetwarzania powierzonych mu </w:t>
      </w:r>
      <w:r w:rsidRPr="00E34F8C">
        <w:rPr>
          <w:rFonts w:asciiTheme="majorHAnsi" w:hAnsiTheme="majorHAnsi" w:cstheme="majorHAnsi"/>
          <w:sz w:val="23"/>
          <w:szCs w:val="23"/>
        </w:rPr>
        <w:t>D</w:t>
      </w:r>
      <w:r w:rsidR="007A2BA3" w:rsidRPr="00E34F8C">
        <w:rPr>
          <w:rFonts w:asciiTheme="majorHAnsi" w:hAnsiTheme="majorHAnsi" w:cstheme="majorHAnsi"/>
          <w:sz w:val="23"/>
          <w:szCs w:val="23"/>
        </w:rPr>
        <w:t xml:space="preserve">anych </w:t>
      </w:r>
      <w:r w:rsidRPr="00E34F8C">
        <w:rPr>
          <w:rFonts w:asciiTheme="majorHAnsi" w:hAnsiTheme="majorHAnsi" w:cstheme="majorHAnsi"/>
          <w:sz w:val="23"/>
          <w:szCs w:val="23"/>
        </w:rPr>
        <w:t>Abonentów</w:t>
      </w:r>
      <w:r w:rsidR="00BA2BA8" w:rsidRPr="00E34F8C">
        <w:rPr>
          <w:rFonts w:asciiTheme="majorHAnsi" w:hAnsiTheme="majorHAnsi" w:cstheme="majorHAnsi"/>
          <w:sz w:val="23"/>
          <w:szCs w:val="23"/>
        </w:rPr>
        <w:t>,</w:t>
      </w:r>
      <w:r w:rsidR="007A2BA3" w:rsidRPr="00E34F8C">
        <w:rPr>
          <w:rFonts w:asciiTheme="majorHAnsi" w:hAnsiTheme="majorHAnsi" w:cstheme="majorHAnsi"/>
          <w:sz w:val="23"/>
          <w:szCs w:val="23"/>
        </w:rPr>
        <w:t xml:space="preserve"> w terminie</w:t>
      </w:r>
      <w:r w:rsidRPr="00E34F8C">
        <w:rPr>
          <w:rFonts w:asciiTheme="majorHAnsi" w:hAnsiTheme="majorHAnsi" w:cstheme="majorHAnsi"/>
          <w:sz w:val="23"/>
          <w:szCs w:val="23"/>
        </w:rPr>
        <w:t xml:space="preserve"> nie krótszym niż 5 DR</w:t>
      </w:r>
      <w:r w:rsidR="007A2BA3" w:rsidRPr="00E34F8C">
        <w:rPr>
          <w:rFonts w:asciiTheme="majorHAnsi" w:hAnsiTheme="majorHAnsi" w:cstheme="majorHAnsi"/>
          <w:sz w:val="23"/>
          <w:szCs w:val="23"/>
        </w:rPr>
        <w:t xml:space="preserve"> od dnia otrzymania takiego wniosku. </w:t>
      </w:r>
    </w:p>
    <w:p w14:paraId="069824C8" w14:textId="77777777" w:rsidR="00BE7280" w:rsidRPr="00E34F8C" w:rsidRDefault="00BE7280" w:rsidP="00EC0DFD">
      <w:pPr>
        <w:suppressAutoHyphens/>
        <w:spacing w:after="150" w:line="247" w:lineRule="auto"/>
        <w:rPr>
          <w:rFonts w:asciiTheme="majorHAnsi" w:hAnsiTheme="majorHAnsi" w:cstheme="majorHAnsi"/>
          <w:sz w:val="23"/>
          <w:szCs w:val="23"/>
        </w:rPr>
      </w:pPr>
    </w:p>
    <w:p w14:paraId="7BADA844" w14:textId="2F98C859" w:rsidR="007A2BA3" w:rsidRPr="00E34F8C" w:rsidRDefault="007A2BA3" w:rsidP="00EC0DFD">
      <w:pPr>
        <w:suppressAutoHyphens/>
        <w:spacing w:after="150" w:line="247" w:lineRule="auto"/>
        <w:jc w:val="center"/>
        <w:rPr>
          <w:rFonts w:asciiTheme="majorHAnsi" w:hAnsiTheme="majorHAnsi" w:cstheme="majorHAnsi"/>
          <w:b/>
          <w:sz w:val="23"/>
          <w:szCs w:val="23"/>
        </w:rPr>
      </w:pPr>
      <w:r w:rsidRPr="00E34F8C">
        <w:rPr>
          <w:rFonts w:asciiTheme="majorHAnsi" w:hAnsiTheme="majorHAnsi" w:cstheme="majorHAnsi"/>
          <w:b/>
          <w:sz w:val="23"/>
          <w:szCs w:val="23"/>
        </w:rPr>
        <w:lastRenderedPageBreak/>
        <w:t xml:space="preserve">§ </w:t>
      </w:r>
      <w:r w:rsidR="00811EBD" w:rsidRPr="00E34F8C">
        <w:rPr>
          <w:rFonts w:asciiTheme="majorHAnsi" w:hAnsiTheme="majorHAnsi" w:cstheme="majorHAnsi"/>
          <w:b/>
          <w:sz w:val="23"/>
          <w:szCs w:val="23"/>
        </w:rPr>
        <w:t>7</w:t>
      </w:r>
      <w:r w:rsidRPr="00E34F8C">
        <w:rPr>
          <w:rFonts w:asciiTheme="majorHAnsi" w:hAnsiTheme="majorHAnsi" w:cstheme="majorHAnsi"/>
          <w:b/>
          <w:sz w:val="23"/>
          <w:szCs w:val="23"/>
        </w:rPr>
        <w:t xml:space="preserve">. </w:t>
      </w:r>
      <w:r w:rsidR="003C7C9C" w:rsidRPr="00E34F8C">
        <w:rPr>
          <w:rFonts w:asciiTheme="majorHAnsi" w:hAnsiTheme="majorHAnsi" w:cstheme="majorHAnsi"/>
          <w:b/>
          <w:sz w:val="23"/>
          <w:szCs w:val="23"/>
        </w:rPr>
        <w:t>Zgłaszanie incydentów</w:t>
      </w:r>
    </w:p>
    <w:p w14:paraId="501D38E8" w14:textId="3D684C9E" w:rsidR="007A2BA3" w:rsidRPr="00E34F8C" w:rsidRDefault="000B5DB9" w:rsidP="00EC0DFD">
      <w:pPr>
        <w:pStyle w:val="Akapitzlist"/>
        <w:numPr>
          <w:ilvl w:val="0"/>
          <w:numId w:val="9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niezwłocznie, nie później niż w terminie </w:t>
      </w:r>
      <w:r w:rsidR="00BA2BA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24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godzin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od wykrycia </w:t>
      </w:r>
      <w:r w:rsidR="00BA2BA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zdarzenia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, informuje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OK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o każdym naruszeniu lub ryzyku naruszenia bezpieczeństwa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Danych Abonentów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 w</w:t>
      </w:r>
      <w:r w:rsidR="00BA2BA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 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szczególności o wszelkich podejrzeniach naruszenia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Umowy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PPDO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, w tym poleceń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OK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, przez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lub osoby upoważnione (dalej jako „</w:t>
      </w:r>
      <w:r w:rsidR="007A2BA3" w:rsidRPr="00E34F8C"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  <w:t>Incydent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”).</w:t>
      </w:r>
    </w:p>
    <w:p w14:paraId="0C1CEE08" w14:textId="209440B1" w:rsidR="007A2BA3" w:rsidRPr="00E34F8C" w:rsidRDefault="007A2BA3" w:rsidP="00EC0DFD">
      <w:pPr>
        <w:pStyle w:val="Akapitzlist"/>
        <w:numPr>
          <w:ilvl w:val="0"/>
          <w:numId w:val="9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Zgłoszenie </w:t>
      </w:r>
      <w:r w:rsidR="00BA2BA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Incydentu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powinno zostać dokonane</w:t>
      </w:r>
      <w:r w:rsidR="000B5DB9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telefonicznie i mailowo z wykorzystaniem danych kontaktowych wskazanych w Załączniku nr 6 do Umowy i powinno – w miarę możliwości -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zawierać co najmniej następujące informacje:</w:t>
      </w:r>
    </w:p>
    <w:p w14:paraId="4CE462E6" w14:textId="77777777" w:rsidR="007A2BA3" w:rsidRPr="00E34F8C" w:rsidRDefault="007A2BA3" w:rsidP="00EC0DFD">
      <w:pPr>
        <w:pStyle w:val="Akapitzlist"/>
        <w:numPr>
          <w:ilvl w:val="0"/>
          <w:numId w:val="10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szczegółowy opis Incydentu;</w:t>
      </w:r>
    </w:p>
    <w:p w14:paraId="70B30205" w14:textId="740E2560" w:rsidR="007A2BA3" w:rsidRPr="00E34F8C" w:rsidRDefault="007A2BA3" w:rsidP="00EC0DFD">
      <w:pPr>
        <w:pStyle w:val="Akapitzlist"/>
        <w:numPr>
          <w:ilvl w:val="0"/>
          <w:numId w:val="10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imię i nazwisko oraz dane kontaktowe do osoby, mogącej udzielić </w:t>
      </w:r>
      <w:r w:rsidR="004B4266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szczegółowych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informacji o Incydencie;</w:t>
      </w:r>
    </w:p>
    <w:p w14:paraId="1E616C4F" w14:textId="1499BDFF" w:rsidR="007A2BA3" w:rsidRPr="00E34F8C" w:rsidRDefault="007A2BA3" w:rsidP="00EC0DFD">
      <w:pPr>
        <w:pStyle w:val="Akapitzlist"/>
        <w:numPr>
          <w:ilvl w:val="0"/>
          <w:numId w:val="10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opis zastosowanych przez </w:t>
      </w:r>
      <w:r w:rsidR="000B5DB9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środków w celu zminimalizowania ewentualnych negatywnych skutków Incydentu.</w:t>
      </w:r>
    </w:p>
    <w:p w14:paraId="1A84DB28" w14:textId="2F15811E" w:rsidR="007A2BA3" w:rsidRPr="00E34F8C" w:rsidRDefault="000B5DB9" w:rsidP="00EC0DFD">
      <w:pPr>
        <w:pStyle w:val="Akapitzlist"/>
        <w:numPr>
          <w:ilvl w:val="0"/>
          <w:numId w:val="9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 powinien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przekazać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OK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wszelkie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posiadane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dokumenty i informacje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związane z</w:t>
      </w:r>
      <w:r w:rsidR="004B4266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 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I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ncydentem, niezbędne do naprawienia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/usunięcia skutków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I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ncydentu.</w:t>
      </w:r>
    </w:p>
    <w:p w14:paraId="75D859CE" w14:textId="651534CA" w:rsidR="007A2BA3" w:rsidRPr="00E34F8C" w:rsidRDefault="000B5DB9" w:rsidP="00EC0DFD">
      <w:pPr>
        <w:pStyle w:val="Akapitzlist"/>
        <w:numPr>
          <w:ilvl w:val="0"/>
          <w:numId w:val="9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niezwłocznie podejmuje działania mające na celu ograniczenie i naprawienie negatywnych skutków Incydentu oraz zapobieżenie podobnym zdarzeniom w przyszłości.</w:t>
      </w:r>
    </w:p>
    <w:p w14:paraId="07FA3098" w14:textId="16DCB0EB" w:rsidR="007A2BA3" w:rsidRPr="00E34F8C" w:rsidRDefault="000B5DB9" w:rsidP="00EC0DFD">
      <w:pPr>
        <w:pStyle w:val="Akapitzlist"/>
        <w:numPr>
          <w:ilvl w:val="0"/>
          <w:numId w:val="9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jest zobowiązany do dokumentowania Incydentu, w tym okoliczności</w:t>
      </w:r>
      <w:r w:rsidR="00BA2BA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dotyczących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wystąpienia skutków, podjętych działań zaradczych i zapobiegawczych. Obowiązek przechowywania dokumentacji, o której mowa w zdaniu poprzednim utrzymuje się w</w:t>
      </w:r>
      <w:r w:rsidR="004B4266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 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okresie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obowiązywania Umowy</w:t>
      </w:r>
      <w:r w:rsidR="00BA2BA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PPDO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. Postanowienie § 5 ust. </w:t>
      </w:r>
      <w:r w:rsidR="00BA2BA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4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pkt 7 Umowy PPDO stosuje się odpowiednio. </w:t>
      </w:r>
    </w:p>
    <w:p w14:paraId="2426FB55" w14:textId="6AEFFE5E" w:rsidR="007A2BA3" w:rsidRPr="00E34F8C" w:rsidRDefault="000B5DB9" w:rsidP="00EC0DFD">
      <w:pPr>
        <w:pStyle w:val="Akapitzlist"/>
        <w:numPr>
          <w:ilvl w:val="0"/>
          <w:numId w:val="9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nie będzie z własnej inicjatywy powiadamiał</w:t>
      </w:r>
      <w:r w:rsidR="00BA2BA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osób, których dane dotyczą </w:t>
      </w:r>
      <w:r w:rsidR="00BA2BA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lub 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organu nadzorczego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właściwego do zgłaszania naruszeń, o Incyden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cie</w:t>
      </w:r>
      <w:r w:rsidR="007A2BA3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.</w:t>
      </w:r>
    </w:p>
    <w:p w14:paraId="0684A3A1" w14:textId="0E8C0504" w:rsidR="007A2BA3" w:rsidRPr="00E34F8C" w:rsidRDefault="007A2BA3" w:rsidP="00EC0DFD">
      <w:pPr>
        <w:suppressAutoHyphens/>
        <w:spacing w:after="150" w:line="247" w:lineRule="auto"/>
        <w:jc w:val="center"/>
        <w:rPr>
          <w:rFonts w:asciiTheme="majorHAnsi" w:hAnsiTheme="majorHAnsi" w:cstheme="majorHAnsi"/>
          <w:b/>
          <w:sz w:val="23"/>
          <w:szCs w:val="23"/>
        </w:rPr>
      </w:pPr>
      <w:r w:rsidRPr="00E34F8C">
        <w:rPr>
          <w:rFonts w:asciiTheme="majorHAnsi" w:hAnsiTheme="majorHAnsi" w:cstheme="majorHAnsi"/>
          <w:b/>
          <w:sz w:val="23"/>
          <w:szCs w:val="23"/>
        </w:rPr>
        <w:t xml:space="preserve">§ </w:t>
      </w:r>
      <w:r w:rsidR="000B5DB9" w:rsidRPr="00E34F8C">
        <w:rPr>
          <w:rFonts w:asciiTheme="majorHAnsi" w:hAnsiTheme="majorHAnsi" w:cstheme="majorHAnsi"/>
          <w:b/>
          <w:sz w:val="23"/>
          <w:szCs w:val="23"/>
        </w:rPr>
        <w:t>8</w:t>
      </w:r>
      <w:r w:rsidRPr="00E34F8C">
        <w:rPr>
          <w:rFonts w:asciiTheme="majorHAnsi" w:hAnsiTheme="majorHAnsi" w:cstheme="majorHAnsi"/>
          <w:b/>
          <w:sz w:val="23"/>
          <w:szCs w:val="23"/>
        </w:rPr>
        <w:t xml:space="preserve">. </w:t>
      </w:r>
      <w:r w:rsidR="003C7C9C" w:rsidRPr="00E34F8C">
        <w:rPr>
          <w:rFonts w:asciiTheme="majorHAnsi" w:hAnsiTheme="majorHAnsi" w:cstheme="majorHAnsi"/>
          <w:b/>
          <w:sz w:val="23"/>
          <w:szCs w:val="23"/>
        </w:rPr>
        <w:t>Okres obowiązywania Umowy PPDO</w:t>
      </w:r>
    </w:p>
    <w:p w14:paraId="172E6E18" w14:textId="37EDB4F1" w:rsidR="007A2BA3" w:rsidRPr="00E34F8C" w:rsidRDefault="007A2BA3" w:rsidP="00BA2BA8">
      <w:pPr>
        <w:pStyle w:val="Akapitzlist"/>
        <w:numPr>
          <w:ilvl w:val="0"/>
          <w:numId w:val="19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Umowa </w:t>
      </w:r>
      <w:r w:rsidR="000B5DB9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PPDO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wygasa w </w:t>
      </w:r>
      <w:r w:rsidR="000B5DB9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chwili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zakończenia okresu obowiązywania Umowy, niezależnie od przyczyny</w:t>
      </w:r>
      <w:r w:rsidR="000B5DB9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ustania obowiązywania Umowy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.</w:t>
      </w:r>
      <w:r w:rsidR="0007324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Rozwiązanie Umowy jest równoznaczne z rozwiązaniem Umowy PPDO.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Jeżeli na zasadach określonych w Umowie, mimo jej rozwiązania, </w:t>
      </w:r>
      <w:r w:rsidR="000B5DB9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amówienia </w:t>
      </w:r>
      <w:r w:rsidR="0007324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na usługę BSA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lub</w:t>
      </w:r>
      <w:r w:rsidR="0007324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LLU 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albo</w:t>
      </w:r>
      <w:r w:rsidR="0007324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usługi BSA 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lub</w:t>
      </w:r>
      <w:r w:rsidR="0007324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LLU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są nadal realizowane</w:t>
      </w:r>
      <w:r w:rsidR="0007324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/świadczone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, </w:t>
      </w:r>
      <w:r w:rsidR="000B5DB9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Umowa PPDO obowiązuje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do czasu ich wykonania</w:t>
      </w:r>
      <w:r w:rsidR="0054421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/zakończenia ich świadczenia</w:t>
      </w:r>
      <w:r w:rsidR="005B7D0E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,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w zakresie niezbędnym do ich realizacji.</w:t>
      </w:r>
    </w:p>
    <w:p w14:paraId="19551CD8" w14:textId="4623027F" w:rsidR="001C3CE7" w:rsidRPr="00E34F8C" w:rsidRDefault="001C3CE7" w:rsidP="00BA2BA8">
      <w:pPr>
        <w:pStyle w:val="Akapitzlist"/>
        <w:numPr>
          <w:ilvl w:val="0"/>
          <w:numId w:val="19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Umowa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PPDO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może 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zostać rozwiązana przez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="00AF627F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OK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bez zachowania okresu wypowiedzenia, tj.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ze skutkiem natychmiastowym, w przypadku zaistnienia ważnych przyczyn, przez które Strony rozumieją:</w:t>
      </w:r>
    </w:p>
    <w:p w14:paraId="71405B63" w14:textId="08F8AE9B" w:rsidR="001C3CE7" w:rsidRPr="00E34F8C" w:rsidRDefault="001C3CE7" w:rsidP="00BA2BA8">
      <w:pPr>
        <w:pStyle w:val="Akapitzlist"/>
        <w:numPr>
          <w:ilvl w:val="0"/>
          <w:numId w:val="20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istotne naruszenie przez 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postanowień Umowy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PPDO -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pod warunkiem uprzedniego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pisemnego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 bezskutecznego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wezwania 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przez</w:t>
      </w:r>
      <w:r w:rsidR="00AF627F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OK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do zaniechania naruszeń, wskazującego te naruszenia oraz wyznaczeni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a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na ich usunięcie odpowiedniego terminu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nie krótszego niż 7 dni;</w:t>
      </w:r>
    </w:p>
    <w:p w14:paraId="4CFEEBC3" w14:textId="2F25127F" w:rsidR="001C3CE7" w:rsidRPr="00E34F8C" w:rsidRDefault="001C3CE7" w:rsidP="00BA2BA8">
      <w:pPr>
        <w:pStyle w:val="Akapitzlist"/>
        <w:numPr>
          <w:ilvl w:val="0"/>
          <w:numId w:val="20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lastRenderedPageBreak/>
        <w:t xml:space="preserve">stwierdzone przez odpowiedni organ naruszenie przez 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przepisów powszechnie obowiązującego prawa regulujących ochronę danych osobowych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odnośnie do Danych Abonentów -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pod warunkiem uprzedniego, pisemnego, bezskutecznego wezwania OSD przez OK do zaniechania naruszeń, wskazującego te naruszenia oraz wyznaczenia na ich usunięcie odpowiedniego terminu, nie krótszego niż 7 dni. </w:t>
      </w:r>
    </w:p>
    <w:p w14:paraId="6AA768FC" w14:textId="19AAD6C7" w:rsidR="001C3CE7" w:rsidRPr="00E34F8C" w:rsidRDefault="001C3CE7" w:rsidP="00BA2BA8">
      <w:pPr>
        <w:pStyle w:val="Akapitzlist"/>
        <w:numPr>
          <w:ilvl w:val="0"/>
          <w:numId w:val="19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Umowa 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PPDO może zostać rozwiązana przez O</w:t>
      </w:r>
      <w:r w:rsidR="00544212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SD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bez zachowania okresu wypowiedzenia, tj. ze skutkiem natychmiastowym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 w przypadku zaistnienia ważnych przyczyn, przez które Strony rozumieją:</w:t>
      </w:r>
    </w:p>
    <w:p w14:paraId="337380E3" w14:textId="51C6A388" w:rsidR="001C3CE7" w:rsidRPr="00E34F8C" w:rsidRDefault="001C3CE7" w:rsidP="00BA2BA8">
      <w:pPr>
        <w:pStyle w:val="Akapitzlist"/>
        <w:numPr>
          <w:ilvl w:val="0"/>
          <w:numId w:val="21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istotne naruszenie przez </w:t>
      </w:r>
      <w:r w:rsidR="00AF627F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OK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postanowień Umowy </w:t>
      </w:r>
      <w:r w:rsidR="0099243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PPDO 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-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pod warunkiem 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uprzedniego, pisemnego, bezskutecznego wezwania OK przez OSD do zaniechania naruszeń, wskazującego te naruszenia oraz wyznaczenia na ich usunięcie odpowiedniego terminu, nie krótszego niż 7 dni;</w:t>
      </w:r>
    </w:p>
    <w:p w14:paraId="7124492C" w14:textId="05C50823" w:rsidR="001C3CE7" w:rsidRPr="00E34F8C" w:rsidRDefault="000863AC" w:rsidP="00BA2BA8">
      <w:pPr>
        <w:pStyle w:val="Akapitzlist"/>
        <w:numPr>
          <w:ilvl w:val="0"/>
          <w:numId w:val="21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stwierdzone przez odpowiedni organ naruszenie przez O</w:t>
      </w:r>
      <w:r w:rsidR="00296E74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K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przepisów powszechnie obowiązującego prawa regulujących ochronę danych osobowych odnośnie do Danych Abonentów - pod warunkiem uprzedniego, pisemnego, bezskutecznego wezwania O</w:t>
      </w:r>
      <w:r w:rsidR="00296E74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K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przez O</w:t>
      </w:r>
      <w:r w:rsidR="00296E74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SD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do zaniechania naruszeń, wskazującego te naruszenia oraz wyznaczenia na ich usunięcie odpowiedniego terminu, nie krótszego niż 7 dni</w:t>
      </w:r>
      <w:r w:rsidR="0099243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;</w:t>
      </w:r>
    </w:p>
    <w:p w14:paraId="6610F122" w14:textId="241AA249" w:rsidR="001C3CE7" w:rsidRPr="00E34F8C" w:rsidRDefault="001C3CE7" w:rsidP="00BA2BA8">
      <w:pPr>
        <w:pStyle w:val="Akapitzlist"/>
        <w:numPr>
          <w:ilvl w:val="0"/>
          <w:numId w:val="21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stwierdzenie, iż </w:t>
      </w:r>
      <w:r w:rsidR="0099243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powierzone OSD Dane Abonentów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pozyskane zostały</w:t>
      </w:r>
      <w:r w:rsidR="000E49F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przez OK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bezprawnie bądź z naruszeniem przepisów o ochronie danych osobowych, a </w:t>
      </w:r>
      <w:r w:rsidR="00AF627F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OK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nie ma podstawy prawnej ich przetwarzania.</w:t>
      </w:r>
    </w:p>
    <w:p w14:paraId="19833CAC" w14:textId="3C079A3F" w:rsidR="00073242" w:rsidRPr="00E34F8C" w:rsidRDefault="007A2BA3" w:rsidP="00EC0DFD">
      <w:pPr>
        <w:suppressAutoHyphens/>
        <w:spacing w:after="150" w:line="247" w:lineRule="auto"/>
        <w:jc w:val="center"/>
        <w:rPr>
          <w:rFonts w:asciiTheme="majorHAnsi" w:hAnsiTheme="majorHAnsi" w:cstheme="majorHAnsi"/>
          <w:b/>
          <w:sz w:val="23"/>
          <w:szCs w:val="23"/>
        </w:rPr>
      </w:pPr>
      <w:r w:rsidRPr="00E34F8C">
        <w:rPr>
          <w:rFonts w:asciiTheme="majorHAnsi" w:hAnsiTheme="majorHAnsi" w:cstheme="majorHAnsi"/>
          <w:b/>
          <w:sz w:val="23"/>
          <w:szCs w:val="23"/>
        </w:rPr>
        <w:t xml:space="preserve">§ </w:t>
      </w:r>
      <w:r w:rsidR="005B7D0E" w:rsidRPr="00E34F8C">
        <w:rPr>
          <w:rFonts w:asciiTheme="majorHAnsi" w:hAnsiTheme="majorHAnsi" w:cstheme="majorHAnsi"/>
          <w:b/>
          <w:sz w:val="23"/>
          <w:szCs w:val="23"/>
        </w:rPr>
        <w:t>9</w:t>
      </w:r>
      <w:r w:rsidRPr="00E34F8C">
        <w:rPr>
          <w:rFonts w:asciiTheme="majorHAnsi" w:hAnsiTheme="majorHAnsi" w:cstheme="majorHAnsi"/>
          <w:b/>
          <w:sz w:val="23"/>
          <w:szCs w:val="23"/>
        </w:rPr>
        <w:t xml:space="preserve">. </w:t>
      </w:r>
      <w:r w:rsidR="00073242" w:rsidRPr="00E34F8C">
        <w:rPr>
          <w:rFonts w:asciiTheme="majorHAnsi" w:hAnsiTheme="majorHAnsi" w:cstheme="majorHAnsi"/>
          <w:b/>
          <w:sz w:val="23"/>
          <w:szCs w:val="23"/>
        </w:rPr>
        <w:t>Odpowiedzialność</w:t>
      </w:r>
    </w:p>
    <w:p w14:paraId="7D6C025A" w14:textId="44CD5CC0" w:rsidR="00073242" w:rsidRPr="00E34F8C" w:rsidRDefault="005F0058" w:rsidP="000863AC">
      <w:pPr>
        <w:pStyle w:val="Akapitzlist"/>
        <w:numPr>
          <w:ilvl w:val="0"/>
          <w:numId w:val="22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="0007324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uznaje obowiązek ochrony </w:t>
      </w:r>
      <w:r w:rsidR="0099243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D</w:t>
      </w:r>
      <w:r w:rsidR="0007324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anych </w:t>
      </w:r>
      <w:r w:rsidR="0099243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Abonentów </w:t>
      </w:r>
      <w:r w:rsidR="0007324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za obowiązek wszystkich członków personelu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="0007324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, w tym pracowników, współpracowników, podwykonawców, </w:t>
      </w:r>
      <w:r w:rsidR="008F6ECD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ewentualnych </w:t>
      </w:r>
      <w:proofErr w:type="spellStart"/>
      <w:r w:rsidR="0007324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współadministratorów</w:t>
      </w:r>
      <w:proofErr w:type="spellEnd"/>
      <w:r w:rsidR="0007324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, a także innych osób, którymi posługuje się przy wykonywaniu Umowy </w:t>
      </w:r>
      <w:r w:rsidR="008F6ECD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PPDO </w:t>
      </w:r>
      <w:r w:rsidR="0007324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i Umowy, niezależnie od stosunku prawnego łączącego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="0007324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z powyższymi osobami. Jednocześnie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OSD </w:t>
      </w:r>
      <w:r w:rsidR="0007324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zobowiązuje się, że w przypadku, gdy którakolwiek z osób wskazanych w zdaniu poprzednim naruszy zasady ochrony </w:t>
      </w:r>
      <w:r w:rsidR="008F6ECD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Danych Abonentów</w:t>
      </w:r>
      <w:r w:rsidR="0007324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, 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="0007324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odsunie ją od wykonywania czynności związanych z Umową oraz uniemożliwi jej dostęp do </w:t>
      </w:r>
      <w:r w:rsidR="008F6ECD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Danych Abonentów</w:t>
      </w:r>
      <w:r w:rsidR="00073242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.</w:t>
      </w:r>
    </w:p>
    <w:p w14:paraId="33A3219E" w14:textId="5B2B8866" w:rsidR="00073242" w:rsidRPr="00E34F8C" w:rsidRDefault="00073242" w:rsidP="000863AC">
      <w:pPr>
        <w:pStyle w:val="Akapitzlist"/>
        <w:numPr>
          <w:ilvl w:val="0"/>
          <w:numId w:val="22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bookmarkStart w:id="3" w:name="_Ref467599249"/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W razie wytoczenia przez osobę trzecią powództwa przeciwko </w:t>
      </w:r>
      <w:r w:rsidR="00AF627F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OK</w:t>
      </w:r>
      <w:r w:rsidR="008F6ECD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 z przyczyn leżących po stronie OSD,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z tytułu naruszenia praw osoby trzeciej</w:t>
      </w:r>
      <w:r w:rsidR="000E49F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 związku z naruszeniem przepisów regulujących ochronę danych osobowych, </w:t>
      </w:r>
      <w:r w:rsidR="00AF627F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OK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niezwłocznie, nie później niż w ciągu 7 dni</w:t>
      </w:r>
      <w:r w:rsidR="000E49F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zawiadomi 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o takim roszczeniu, umożliwiając mu wstąpienie do postępowania w</w:t>
      </w:r>
      <w:r w:rsidR="000E49F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 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charakterze strony pozwanej, a w razie braku takiej możliwości, z interwencją uboczną po stronie pozwanej. </w:t>
      </w:r>
      <w:r w:rsidR="008F6ECD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Udział w postępowaniu jest prawem, a nie obowiązkiem OSD. </w:t>
      </w:r>
    </w:p>
    <w:p w14:paraId="144D8C08" w14:textId="6B007483" w:rsidR="00073242" w:rsidRPr="00E34F8C" w:rsidRDefault="00073242" w:rsidP="000863AC">
      <w:pPr>
        <w:pStyle w:val="Akapitzlist"/>
        <w:numPr>
          <w:ilvl w:val="0"/>
          <w:numId w:val="22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Postanowieni</w:t>
      </w:r>
      <w:r w:rsidR="000E49F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a § 9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ust. 2</w:t>
      </w:r>
      <w:r w:rsidR="000E49F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Umowy PPDO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stosuje się odpowiednio do sytuacji, gdy przeciwko </w:t>
      </w:r>
      <w:r w:rsidR="00AF627F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OK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wystąpi organ kontrolny w związku z domniemanym naruszeniem, za które odpowiedzialny może być </w:t>
      </w:r>
      <w:r w:rsidR="005F0058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. </w:t>
      </w:r>
      <w:r w:rsidRPr="00E34F8C" w:rsidDel="0003487D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</w:t>
      </w:r>
      <w:bookmarkEnd w:id="3"/>
    </w:p>
    <w:p w14:paraId="1D5DB1B4" w14:textId="49734796" w:rsidR="002A3294" w:rsidRPr="00E34F8C" w:rsidRDefault="002A3294" w:rsidP="000863AC">
      <w:pPr>
        <w:pStyle w:val="Akapitzlist"/>
        <w:numPr>
          <w:ilvl w:val="0"/>
          <w:numId w:val="22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W przypadku szkody spowodowanej działaniem </w:t>
      </w:r>
      <w:r w:rsidR="00AF627F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, </w:t>
      </w:r>
      <w:r w:rsidR="00AF627F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odpowiadać będzie na zasadzie  winy za niewykonanie lub nieprawidłowe wykonanie Umowy</w:t>
      </w:r>
      <w:r w:rsidR="008F6ECD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PPDO. </w:t>
      </w:r>
    </w:p>
    <w:p w14:paraId="250C0EF2" w14:textId="3E54AC3E" w:rsidR="002A3294" w:rsidRPr="00E34F8C" w:rsidRDefault="002A3294" w:rsidP="000863AC">
      <w:pPr>
        <w:pStyle w:val="Akapitzlist"/>
        <w:numPr>
          <w:ilvl w:val="0"/>
          <w:numId w:val="22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lastRenderedPageBreak/>
        <w:t>Strony potwierdzają, że do zasad ich odpowiedzialności zastosowanie ma art. 82 RODO. W</w:t>
      </w:r>
      <w:r w:rsidR="000E49F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 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przypadku wystąpienia przez osobę, której dane dotyczą, z roszczeniami względem </w:t>
      </w:r>
      <w:r w:rsidR="00AF627F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OK</w:t>
      </w:r>
      <w:r w:rsidR="008F6ECD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(a</w:t>
      </w:r>
      <w:r w:rsidR="000E49F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 </w:t>
      </w:r>
      <w:r w:rsidR="008F6ECD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powstałymi z przyczyn leżących po stronie OSD)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lub względem </w:t>
      </w:r>
      <w:r w:rsidR="00AF627F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OSD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 związanymi z</w:t>
      </w:r>
      <w:r w:rsidR="000E49F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 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przetwarzaniem </w:t>
      </w:r>
      <w:r w:rsidR="00E46589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Danych Abonentów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 Strony dołożą wszelkich starań i przystąpią wspólnie do negocjacji, których celem będzie załatwienie sprawy polubownie</w:t>
      </w:r>
      <w:r w:rsidR="008F6ECD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w sposób możliwie najmniej obciążający je finansowo. Każda Strona odpowiada za własne działania i zaniechania związane z przetwarzaniem </w:t>
      </w:r>
      <w:r w:rsidR="00E46589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Danych Abonentów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, mogące skutkować szkodą u osób, których dane dotyczą lub skutkować odpowiedzialnością administracyjną związaną z</w:t>
      </w:r>
      <w:r w:rsidR="000E49F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 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naruszeniem zasad ochrony </w:t>
      </w:r>
      <w:r w:rsidR="00E46589"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Danych Abonentów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. </w:t>
      </w:r>
    </w:p>
    <w:p w14:paraId="462650F0" w14:textId="6EBB1507" w:rsidR="007A2BA3" w:rsidRPr="00E34F8C" w:rsidRDefault="00073242" w:rsidP="00EC0DFD">
      <w:pPr>
        <w:suppressAutoHyphens/>
        <w:spacing w:after="150" w:line="247" w:lineRule="auto"/>
        <w:jc w:val="center"/>
        <w:rPr>
          <w:rFonts w:asciiTheme="majorHAnsi" w:hAnsiTheme="majorHAnsi" w:cstheme="majorHAnsi"/>
          <w:b/>
          <w:sz w:val="23"/>
          <w:szCs w:val="23"/>
        </w:rPr>
      </w:pPr>
      <w:r w:rsidRPr="00E34F8C">
        <w:rPr>
          <w:rFonts w:asciiTheme="majorHAnsi" w:hAnsiTheme="majorHAnsi" w:cstheme="majorHAnsi"/>
          <w:b/>
          <w:sz w:val="23"/>
          <w:szCs w:val="23"/>
        </w:rPr>
        <w:t xml:space="preserve">§ 10. </w:t>
      </w:r>
      <w:r w:rsidR="003C7C9C" w:rsidRPr="00E34F8C">
        <w:rPr>
          <w:rFonts w:asciiTheme="majorHAnsi" w:hAnsiTheme="majorHAnsi" w:cstheme="majorHAnsi"/>
          <w:b/>
          <w:sz w:val="23"/>
          <w:szCs w:val="23"/>
        </w:rPr>
        <w:t>Postanowienia końcowe</w:t>
      </w:r>
    </w:p>
    <w:p w14:paraId="647380E6" w14:textId="61309477" w:rsidR="005B7D0E" w:rsidRPr="00E34F8C" w:rsidRDefault="005B7D0E" w:rsidP="00EC0DFD">
      <w:pPr>
        <w:pStyle w:val="Akapitzlist"/>
        <w:numPr>
          <w:ilvl w:val="0"/>
          <w:numId w:val="13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Pojęcia niezdefiniowane w Umowie PPDO należy rozumieć zgodnie ze znaczeniem nadanym im w Umowie. </w:t>
      </w:r>
    </w:p>
    <w:p w14:paraId="4B1F8D7C" w14:textId="4A00B123" w:rsidR="005B7D0E" w:rsidRPr="00E34F8C" w:rsidRDefault="005B7D0E" w:rsidP="00EC0DFD">
      <w:pPr>
        <w:pStyle w:val="Akapitzlist"/>
        <w:numPr>
          <w:ilvl w:val="0"/>
          <w:numId w:val="13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Wszelkie zmiany Umowy PPDO wymagają zgody obu Stron oraz zachowania formy pisemnej.</w:t>
      </w:r>
    </w:p>
    <w:p w14:paraId="1483BD78" w14:textId="06302A02" w:rsidR="005B7D0E" w:rsidRPr="00E34F8C" w:rsidRDefault="005B7D0E" w:rsidP="00EC0DFD">
      <w:pPr>
        <w:pStyle w:val="Akapitzlist"/>
        <w:numPr>
          <w:ilvl w:val="0"/>
          <w:numId w:val="13"/>
        </w:numPr>
        <w:spacing w:after="150" w:line="247" w:lineRule="auto"/>
        <w:contextualSpacing w:val="0"/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Umowę PPDO sporządzono w dwóch jednobrzmiących egzemplarzach, po jednym dla każdej ze Stron. </w:t>
      </w:r>
    </w:p>
    <w:p w14:paraId="596E061B" w14:textId="3757570B" w:rsidR="005B7D0E" w:rsidRPr="00E34F8C" w:rsidRDefault="005B7D0E" w:rsidP="00EC0DFD">
      <w:pPr>
        <w:pStyle w:val="Akapitzlist"/>
        <w:numPr>
          <w:ilvl w:val="0"/>
          <w:numId w:val="13"/>
        </w:numPr>
        <w:spacing w:after="150" w:line="247" w:lineRule="auto"/>
        <w:contextualSpacing w:val="0"/>
        <w:rPr>
          <w:rFonts w:asciiTheme="majorHAnsi" w:hAnsiTheme="majorHAnsi" w:cstheme="majorHAnsi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W sprawach nieuregulowanych postanowieniami Umowy PPDO, zastosowanie mają postanowienia Umowy, a w kwestiach tam nieuregulowanych, przepisy powszechnie obowiązującego prawa polskiego. </w:t>
      </w:r>
    </w:p>
    <w:p w14:paraId="6CED1944" w14:textId="77777777" w:rsidR="005B7D0E" w:rsidRPr="00E34F8C" w:rsidRDefault="005B7D0E" w:rsidP="00EC0DFD">
      <w:pPr>
        <w:pStyle w:val="Akapitzlist"/>
        <w:numPr>
          <w:ilvl w:val="0"/>
          <w:numId w:val="13"/>
        </w:numPr>
        <w:spacing w:after="150" w:line="247" w:lineRule="auto"/>
        <w:contextualSpacing w:val="0"/>
        <w:rPr>
          <w:rFonts w:asciiTheme="majorHAnsi" w:hAnsiTheme="majorHAnsi" w:cstheme="majorHAnsi"/>
          <w:sz w:val="23"/>
          <w:szCs w:val="23"/>
        </w:rPr>
      </w:pP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>Zgodnie z art. 78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  <w:vertAlign w:val="superscript"/>
        </w:rPr>
        <w:t>1</w:t>
      </w:r>
      <w:r w:rsidRPr="00E34F8C">
        <w:rPr>
          <w:rFonts w:asciiTheme="majorHAnsi" w:eastAsiaTheme="majorEastAsia" w:hAnsiTheme="majorHAnsi" w:cstheme="majorHAnsi"/>
          <w:bCs/>
          <w:color w:val="000000" w:themeColor="text1"/>
          <w:sz w:val="23"/>
          <w:szCs w:val="23"/>
        </w:rPr>
        <w:t xml:space="preserve"> § 2 ustawy z dnia 23 kwietnia 1964 r. Kodeks cywilny, oświadczenie woli złożone w formie elektronicznej jest równoważne z oświadczeniem woli złożonym w formie pisemnej.</w:t>
      </w:r>
    </w:p>
    <w:p w14:paraId="6ED87030" w14:textId="77777777" w:rsidR="007A2BA3" w:rsidRDefault="007A2BA3" w:rsidP="003A1DB7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</w:p>
    <w:p w14:paraId="0ECECB8E" w14:textId="77777777" w:rsidR="006B375A" w:rsidRPr="00F72BCC" w:rsidRDefault="006B375A" w:rsidP="003A1DB7">
      <w:pPr>
        <w:spacing w:after="150" w:line="247" w:lineRule="auto"/>
        <w:jc w:val="center"/>
        <w:rPr>
          <w:rFonts w:asciiTheme="majorHAnsi" w:eastAsiaTheme="majorEastAsia" w:hAnsiTheme="majorHAnsi" w:cstheme="majorHAnsi"/>
          <w:b/>
          <w:color w:val="000000" w:themeColor="text1"/>
          <w:sz w:val="23"/>
          <w:szCs w:val="23"/>
        </w:rPr>
      </w:pPr>
    </w:p>
    <w:p w14:paraId="32C37840" w14:textId="77777777" w:rsidR="00BF70FD" w:rsidRPr="00F72BCC" w:rsidRDefault="00BF70FD" w:rsidP="00125D64">
      <w:pPr>
        <w:spacing w:after="150" w:line="247" w:lineRule="auto"/>
        <w:rPr>
          <w:rFonts w:asciiTheme="majorHAnsi" w:hAnsiTheme="majorHAnsi" w:cstheme="majorHAnsi"/>
          <w:sz w:val="23"/>
          <w:szCs w:val="23"/>
        </w:rPr>
      </w:pPr>
    </w:p>
    <w:bookmarkEnd w:id="0"/>
    <w:p w14:paraId="6B213E6A" w14:textId="5244D57E" w:rsidR="00E56C8C" w:rsidRPr="00F72BCC" w:rsidRDefault="00BF70FD" w:rsidP="00BF70FD">
      <w:pPr>
        <w:spacing w:after="150" w:line="247" w:lineRule="auto"/>
        <w:ind w:left="2832"/>
        <w:rPr>
          <w:rFonts w:asciiTheme="majorHAnsi" w:hAnsiTheme="majorHAnsi" w:cstheme="majorHAnsi"/>
          <w:b/>
          <w:bCs/>
          <w:sz w:val="23"/>
          <w:szCs w:val="23"/>
        </w:rPr>
      </w:pPr>
      <w:r w:rsidRPr="00F72BCC">
        <w:rPr>
          <w:rFonts w:asciiTheme="majorHAnsi" w:hAnsiTheme="majorHAnsi" w:cstheme="majorHAnsi"/>
          <w:b/>
          <w:bCs/>
          <w:sz w:val="23"/>
          <w:szCs w:val="23"/>
        </w:rPr>
        <w:t>OSD</w:t>
      </w:r>
      <w:r w:rsidRPr="00F72BCC">
        <w:rPr>
          <w:rFonts w:asciiTheme="majorHAnsi" w:hAnsiTheme="majorHAnsi" w:cstheme="majorHAnsi"/>
          <w:b/>
          <w:bCs/>
          <w:sz w:val="23"/>
          <w:szCs w:val="23"/>
        </w:rPr>
        <w:tab/>
      </w:r>
      <w:r w:rsidRPr="00F72BCC">
        <w:rPr>
          <w:rFonts w:asciiTheme="majorHAnsi" w:hAnsiTheme="majorHAnsi" w:cstheme="majorHAnsi"/>
          <w:b/>
          <w:bCs/>
          <w:sz w:val="23"/>
          <w:szCs w:val="23"/>
        </w:rPr>
        <w:tab/>
      </w:r>
      <w:r w:rsidRPr="00F72BCC">
        <w:rPr>
          <w:rFonts w:asciiTheme="majorHAnsi" w:hAnsiTheme="majorHAnsi" w:cstheme="majorHAnsi"/>
          <w:b/>
          <w:bCs/>
          <w:sz w:val="23"/>
          <w:szCs w:val="23"/>
        </w:rPr>
        <w:tab/>
      </w:r>
      <w:r w:rsidRPr="00F72BCC">
        <w:rPr>
          <w:rFonts w:asciiTheme="majorHAnsi" w:hAnsiTheme="majorHAnsi" w:cstheme="majorHAnsi"/>
          <w:b/>
          <w:bCs/>
          <w:sz w:val="23"/>
          <w:szCs w:val="23"/>
        </w:rPr>
        <w:tab/>
      </w:r>
      <w:r w:rsidRPr="00F72BCC">
        <w:rPr>
          <w:rFonts w:asciiTheme="majorHAnsi" w:hAnsiTheme="majorHAnsi" w:cstheme="majorHAnsi"/>
          <w:b/>
          <w:bCs/>
          <w:sz w:val="23"/>
          <w:szCs w:val="23"/>
        </w:rPr>
        <w:tab/>
      </w:r>
      <w:r w:rsidRPr="00F72BCC">
        <w:rPr>
          <w:rFonts w:asciiTheme="majorHAnsi" w:hAnsiTheme="majorHAnsi" w:cstheme="majorHAnsi"/>
          <w:b/>
          <w:bCs/>
          <w:sz w:val="23"/>
          <w:szCs w:val="23"/>
        </w:rPr>
        <w:tab/>
        <w:t>OK</w:t>
      </w:r>
    </w:p>
    <w:p w14:paraId="511519FC" w14:textId="77777777" w:rsidR="00BF70FD" w:rsidRPr="00F72BCC" w:rsidRDefault="00BF70FD" w:rsidP="00BF70FD">
      <w:pPr>
        <w:spacing w:after="150" w:line="247" w:lineRule="auto"/>
        <w:ind w:left="2832"/>
        <w:rPr>
          <w:rFonts w:asciiTheme="majorHAnsi" w:hAnsiTheme="majorHAnsi" w:cstheme="majorHAnsi"/>
          <w:sz w:val="23"/>
          <w:szCs w:val="23"/>
        </w:rPr>
      </w:pPr>
    </w:p>
    <w:p w14:paraId="7130F88C" w14:textId="1C5B06D1" w:rsidR="008D567C" w:rsidRPr="00F72BCC" w:rsidRDefault="008D567C" w:rsidP="00DA5DE1">
      <w:pPr>
        <w:spacing w:after="150" w:line="247" w:lineRule="auto"/>
        <w:ind w:left="708" w:firstLine="708"/>
        <w:rPr>
          <w:rFonts w:asciiTheme="majorHAnsi" w:hAnsiTheme="majorHAnsi" w:cstheme="majorHAnsi"/>
          <w:sz w:val="23"/>
          <w:szCs w:val="23"/>
        </w:rPr>
      </w:pPr>
      <w:r w:rsidRPr="00F72BCC">
        <w:rPr>
          <w:rFonts w:asciiTheme="majorHAnsi" w:hAnsiTheme="majorHAnsi" w:cstheme="majorHAnsi"/>
          <w:sz w:val="23"/>
          <w:szCs w:val="23"/>
        </w:rPr>
        <w:t>___________________________</w:t>
      </w:r>
      <w:r w:rsidRPr="00F72BCC">
        <w:rPr>
          <w:rFonts w:asciiTheme="majorHAnsi" w:hAnsiTheme="majorHAnsi" w:cstheme="majorHAnsi"/>
          <w:sz w:val="23"/>
          <w:szCs w:val="23"/>
        </w:rPr>
        <w:tab/>
      </w:r>
      <w:r w:rsidRPr="00F72BCC">
        <w:rPr>
          <w:rFonts w:asciiTheme="majorHAnsi" w:hAnsiTheme="majorHAnsi" w:cstheme="majorHAnsi"/>
          <w:sz w:val="23"/>
          <w:szCs w:val="23"/>
        </w:rPr>
        <w:tab/>
        <w:t>____________________________</w:t>
      </w:r>
    </w:p>
    <w:p w14:paraId="1FE7F1A8" w14:textId="6428C9EA" w:rsidR="008D567C" w:rsidRPr="00F72BCC" w:rsidRDefault="008D567C" w:rsidP="00DA5DE1">
      <w:pPr>
        <w:spacing w:after="150" w:line="247" w:lineRule="auto"/>
        <w:ind w:firstLine="708"/>
        <w:rPr>
          <w:rFonts w:asciiTheme="majorHAnsi" w:hAnsiTheme="majorHAnsi" w:cstheme="majorHAnsi"/>
          <w:i/>
          <w:iCs/>
          <w:sz w:val="23"/>
          <w:szCs w:val="23"/>
        </w:rPr>
      </w:pPr>
      <w:r w:rsidRPr="00F72BCC">
        <w:rPr>
          <w:rFonts w:asciiTheme="majorHAnsi" w:hAnsiTheme="majorHAnsi" w:cstheme="majorHAnsi"/>
          <w:sz w:val="23"/>
          <w:szCs w:val="23"/>
        </w:rPr>
        <w:tab/>
      </w:r>
      <w:r w:rsidR="00147531" w:rsidRPr="00F72BCC">
        <w:rPr>
          <w:rFonts w:asciiTheme="majorHAnsi" w:hAnsiTheme="majorHAnsi" w:cstheme="majorHAnsi"/>
          <w:sz w:val="23"/>
          <w:szCs w:val="23"/>
        </w:rPr>
        <w:tab/>
      </w:r>
      <w:r w:rsidR="00BF70FD" w:rsidRPr="00F72BCC">
        <w:rPr>
          <w:rFonts w:asciiTheme="majorHAnsi" w:hAnsiTheme="majorHAnsi" w:cstheme="majorHAnsi"/>
          <w:i/>
          <w:iCs/>
          <w:sz w:val="23"/>
          <w:szCs w:val="23"/>
        </w:rPr>
        <w:t>data i podpis</w:t>
      </w:r>
      <w:r w:rsidRPr="00F72BCC">
        <w:rPr>
          <w:rFonts w:asciiTheme="majorHAnsi" w:hAnsiTheme="majorHAnsi" w:cstheme="majorHAnsi"/>
          <w:sz w:val="23"/>
          <w:szCs w:val="23"/>
        </w:rPr>
        <w:tab/>
      </w:r>
      <w:r w:rsidRPr="00F72BCC">
        <w:rPr>
          <w:rFonts w:asciiTheme="majorHAnsi" w:hAnsiTheme="majorHAnsi" w:cstheme="majorHAnsi"/>
          <w:sz w:val="23"/>
          <w:szCs w:val="23"/>
        </w:rPr>
        <w:tab/>
      </w:r>
      <w:r w:rsidRPr="00F72BCC">
        <w:rPr>
          <w:rFonts w:asciiTheme="majorHAnsi" w:hAnsiTheme="majorHAnsi" w:cstheme="majorHAnsi"/>
          <w:sz w:val="23"/>
          <w:szCs w:val="23"/>
        </w:rPr>
        <w:tab/>
      </w:r>
      <w:r w:rsidRPr="00F72BCC">
        <w:rPr>
          <w:rFonts w:asciiTheme="majorHAnsi" w:hAnsiTheme="majorHAnsi" w:cstheme="majorHAnsi"/>
          <w:sz w:val="23"/>
          <w:szCs w:val="23"/>
        </w:rPr>
        <w:tab/>
      </w:r>
      <w:r w:rsidRPr="00F72BCC">
        <w:rPr>
          <w:rFonts w:asciiTheme="majorHAnsi" w:hAnsiTheme="majorHAnsi" w:cstheme="majorHAnsi"/>
          <w:sz w:val="23"/>
          <w:szCs w:val="23"/>
        </w:rPr>
        <w:tab/>
      </w:r>
      <w:r w:rsidR="00BF70FD" w:rsidRPr="00F72BCC">
        <w:rPr>
          <w:rFonts w:asciiTheme="majorHAnsi" w:hAnsiTheme="majorHAnsi" w:cstheme="majorHAnsi"/>
          <w:i/>
          <w:iCs/>
          <w:sz w:val="23"/>
          <w:szCs w:val="23"/>
        </w:rPr>
        <w:t>data i podpis</w:t>
      </w:r>
    </w:p>
    <w:p w14:paraId="745BF7E1" w14:textId="5E3DF1BA" w:rsidR="00672ED4" w:rsidRPr="00672ED4" w:rsidRDefault="00672ED4" w:rsidP="00672ED4">
      <w:pPr>
        <w:spacing w:after="150" w:line="247" w:lineRule="auto"/>
        <w:rPr>
          <w:rFonts w:asciiTheme="majorHAnsi" w:hAnsiTheme="majorHAnsi" w:cstheme="majorHAnsi"/>
          <w:sz w:val="20"/>
          <w:szCs w:val="20"/>
        </w:rPr>
      </w:pPr>
    </w:p>
    <w:sectPr w:rsidR="00672ED4" w:rsidRPr="00672ED4" w:rsidSect="00DA5D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8B3D8" w14:textId="77777777" w:rsidR="00D37DC5" w:rsidRDefault="00D37DC5" w:rsidP="000D1BC7">
      <w:pPr>
        <w:spacing w:after="0" w:line="240" w:lineRule="auto"/>
      </w:pPr>
      <w:r>
        <w:separator/>
      </w:r>
    </w:p>
  </w:endnote>
  <w:endnote w:type="continuationSeparator" w:id="0">
    <w:p w14:paraId="3139EEEC" w14:textId="77777777" w:rsidR="00D37DC5" w:rsidRDefault="00D37DC5" w:rsidP="000D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N Pro Regular">
    <w:altName w:val="Arial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charset w:val="EE"/>
    <w:family w:val="swiss"/>
    <w:pitch w:val="variable"/>
    <w:sig w:usb0="E7000EFF" w:usb1="5200FDFF" w:usb2="0A042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97354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CBCD74" w14:textId="77777777" w:rsidR="00DE61FA" w:rsidRDefault="00DE61FA" w:rsidP="00DE61FA">
            <w:pPr>
              <w:pStyle w:val="Stopka"/>
              <w:spacing w:after="120"/>
              <w:jc w:val="left"/>
            </w:pPr>
          </w:p>
          <w:p w14:paraId="02CD9F2E" w14:textId="27224ABE" w:rsidR="00DE61FA" w:rsidRPr="00193024" w:rsidRDefault="00DE61FA" w:rsidP="00DE61FA">
            <w:pPr>
              <w:pStyle w:val="Stopka"/>
              <w:spacing w:after="12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>dokument chroniony prawem autorskim</w:t>
            </w:r>
          </w:p>
          <w:p w14:paraId="54FB832A" w14:textId="3336EC1E" w:rsidR="000D1BC7" w:rsidRPr="00DE61FA" w:rsidRDefault="000D1BC7" w:rsidP="00DE61FA">
            <w:pPr>
              <w:pStyle w:val="Stopka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 xml:space="preserve">Strona </w: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PAGE</w:instrTex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193024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NUMPAGES</w:instrTex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1930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="00D752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430CE" w14:textId="77777777" w:rsidR="00D37DC5" w:rsidRDefault="00D37DC5" w:rsidP="000D1BC7">
      <w:pPr>
        <w:spacing w:after="0" w:line="240" w:lineRule="auto"/>
      </w:pPr>
      <w:r>
        <w:separator/>
      </w:r>
    </w:p>
  </w:footnote>
  <w:footnote w:type="continuationSeparator" w:id="0">
    <w:p w14:paraId="0887436B" w14:textId="77777777" w:rsidR="00D37DC5" w:rsidRDefault="00D37DC5" w:rsidP="000D1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AC58" w14:textId="77777777" w:rsidR="00BE7280" w:rsidRDefault="00BE7280">
    <w:pPr>
      <w:pStyle w:val="Nagwek"/>
      <w:rPr>
        <w:rFonts w:asciiTheme="majorHAnsi" w:hAnsiTheme="majorHAnsi" w:cstheme="majorHAnsi"/>
        <w:sz w:val="20"/>
        <w:szCs w:val="20"/>
      </w:rPr>
    </w:pPr>
    <w:r>
      <w:rPr>
        <w:noProof/>
      </w:rPr>
      <w:drawing>
        <wp:inline distT="0" distB="0" distL="0" distR="0" wp14:anchorId="03B522D2" wp14:editId="57058DC8">
          <wp:extent cx="5733415" cy="735167"/>
          <wp:effectExtent l="0" t="0" r="635" b="8255"/>
          <wp:docPr id="260" name="Obraz 2" descr="C:\Users\Piotr Jankowski\AppData\Local\Packages\Microsoft.Windows.Photos_8wekyb3d8bbwe\TempState\ShareServiceTempFolder\KPO_barwy RP_NextGenerationEU_poziom_zestawienie_podstawowe_ 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otr Jankowski\AppData\Local\Packages\Microsoft.Windows.Photos_8wekyb3d8bbwe\TempState\ShareServiceTempFolder\KPO_barwy RP_NextGenerationEU_poziom_zestawienie_podstawowe_ RGB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35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2CFDA3" w14:textId="1C746A2B" w:rsidR="00096BDF" w:rsidRDefault="00EC6240">
    <w:pPr>
      <w:pStyle w:val="Nagwek"/>
    </w:pPr>
    <w:r w:rsidRPr="00193024">
      <w:rPr>
        <w:rFonts w:asciiTheme="majorHAnsi" w:hAnsiTheme="majorHAnsi" w:cstheme="majorHAnsi"/>
        <w:sz w:val="20"/>
        <w:szCs w:val="20"/>
      </w:rPr>
      <w:t xml:space="preserve">Załącznik nr </w:t>
    </w:r>
    <w:r w:rsidR="00707DAF">
      <w:rPr>
        <w:rFonts w:asciiTheme="majorHAnsi" w:hAnsiTheme="majorHAnsi" w:cstheme="majorHAnsi"/>
        <w:sz w:val="20"/>
        <w:szCs w:val="20"/>
      </w:rPr>
      <w:t>5</w:t>
    </w:r>
    <w:r w:rsidRPr="00193024">
      <w:rPr>
        <w:rFonts w:asciiTheme="majorHAnsi" w:hAnsiTheme="majorHAnsi" w:cstheme="majorHAnsi"/>
        <w:sz w:val="20"/>
        <w:szCs w:val="20"/>
      </w:rPr>
      <w:t xml:space="preserve"> do Umowy </w:t>
    </w:r>
    <w:r w:rsidR="008D567C" w:rsidRPr="00193024">
      <w:rPr>
        <w:rFonts w:asciiTheme="majorHAnsi" w:hAnsiTheme="majorHAnsi" w:cstheme="majorHAnsi"/>
        <w:sz w:val="20"/>
        <w:szCs w:val="20"/>
      </w:rPr>
      <w:t>–</w:t>
    </w:r>
    <w:r w:rsidRPr="00193024">
      <w:rPr>
        <w:rFonts w:asciiTheme="majorHAnsi" w:hAnsiTheme="majorHAnsi" w:cstheme="majorHAnsi"/>
        <w:sz w:val="20"/>
        <w:szCs w:val="20"/>
      </w:rPr>
      <w:t xml:space="preserve"> </w:t>
    </w:r>
    <w:r w:rsidR="00D75217" w:rsidRPr="00193024">
      <w:rPr>
        <w:rFonts w:asciiTheme="majorHAnsi" w:hAnsiTheme="majorHAnsi" w:cstheme="majorHAnsi"/>
        <w:sz w:val="20"/>
        <w:szCs w:val="20"/>
      </w:rPr>
      <w:t xml:space="preserve">wzór </w:t>
    </w:r>
    <w:r w:rsidR="00707DAF" w:rsidRPr="00707DAF">
      <w:rPr>
        <w:rFonts w:asciiTheme="majorHAnsi" w:hAnsiTheme="majorHAnsi" w:cstheme="majorHAnsi"/>
        <w:sz w:val="20"/>
        <w:szCs w:val="20"/>
      </w:rPr>
      <w:t>umowy powierzenia przetwarzania danych osobowych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C3017"/>
    <w:multiLevelType w:val="hybridMultilevel"/>
    <w:tmpl w:val="8C9E1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D6A"/>
    <w:multiLevelType w:val="hybridMultilevel"/>
    <w:tmpl w:val="BF84B9DA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553AF6"/>
    <w:multiLevelType w:val="hybridMultilevel"/>
    <w:tmpl w:val="8C9E1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023DF"/>
    <w:multiLevelType w:val="hybridMultilevel"/>
    <w:tmpl w:val="8C9E1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476EC"/>
    <w:multiLevelType w:val="hybridMultilevel"/>
    <w:tmpl w:val="BF84B9DA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0B117F"/>
    <w:multiLevelType w:val="hybridMultilevel"/>
    <w:tmpl w:val="BF84B9D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6497103"/>
    <w:multiLevelType w:val="hybridMultilevel"/>
    <w:tmpl w:val="1264C9D0"/>
    <w:lvl w:ilvl="0" w:tplc="C0A039C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81311E"/>
    <w:multiLevelType w:val="hybridMultilevel"/>
    <w:tmpl w:val="8C9E1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C7549"/>
    <w:multiLevelType w:val="hybridMultilevel"/>
    <w:tmpl w:val="6BB6A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233A0"/>
    <w:multiLevelType w:val="hybridMultilevel"/>
    <w:tmpl w:val="BF84B9DA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0F3754"/>
    <w:multiLevelType w:val="hybridMultilevel"/>
    <w:tmpl w:val="8C9E1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A34AE"/>
    <w:multiLevelType w:val="hybridMultilevel"/>
    <w:tmpl w:val="8C9E1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9196D"/>
    <w:multiLevelType w:val="hybridMultilevel"/>
    <w:tmpl w:val="8C9E1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C34AF"/>
    <w:multiLevelType w:val="hybridMultilevel"/>
    <w:tmpl w:val="8C9E1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351FB"/>
    <w:multiLevelType w:val="hybridMultilevel"/>
    <w:tmpl w:val="8C9E1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F3544"/>
    <w:multiLevelType w:val="hybridMultilevel"/>
    <w:tmpl w:val="BF84B9DA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332DF6"/>
    <w:multiLevelType w:val="hybridMultilevel"/>
    <w:tmpl w:val="8C9E1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4328A"/>
    <w:multiLevelType w:val="hybridMultilevel"/>
    <w:tmpl w:val="BF84B9DA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29847CB"/>
    <w:multiLevelType w:val="hybridMultilevel"/>
    <w:tmpl w:val="BF84B9DA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28B40B2"/>
    <w:multiLevelType w:val="hybridMultilevel"/>
    <w:tmpl w:val="6382D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4CA"/>
    <w:multiLevelType w:val="hybridMultilevel"/>
    <w:tmpl w:val="8C9E1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20FA1"/>
    <w:multiLevelType w:val="hybridMultilevel"/>
    <w:tmpl w:val="BF84B9DA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79552485">
    <w:abstractNumId w:val="10"/>
  </w:num>
  <w:num w:numId="2" w16cid:durableId="408699917">
    <w:abstractNumId w:val="12"/>
  </w:num>
  <w:num w:numId="3" w16cid:durableId="1950578729">
    <w:abstractNumId w:val="5"/>
  </w:num>
  <w:num w:numId="4" w16cid:durableId="578758550">
    <w:abstractNumId w:val="2"/>
  </w:num>
  <w:num w:numId="5" w16cid:durableId="1996838676">
    <w:abstractNumId w:val="18"/>
  </w:num>
  <w:num w:numId="6" w16cid:durableId="622420392">
    <w:abstractNumId w:val="15"/>
  </w:num>
  <w:num w:numId="7" w16cid:durableId="1370840187">
    <w:abstractNumId w:val="14"/>
  </w:num>
  <w:num w:numId="8" w16cid:durableId="24066707">
    <w:abstractNumId w:val="4"/>
  </w:num>
  <w:num w:numId="9" w16cid:durableId="1592616574">
    <w:abstractNumId w:val="20"/>
  </w:num>
  <w:num w:numId="10" w16cid:durableId="879168671">
    <w:abstractNumId w:val="21"/>
  </w:num>
  <w:num w:numId="11" w16cid:durableId="2032342879">
    <w:abstractNumId w:val="16"/>
  </w:num>
  <w:num w:numId="12" w16cid:durableId="1111360463">
    <w:abstractNumId w:val="9"/>
  </w:num>
  <w:num w:numId="13" w16cid:durableId="1276207753">
    <w:abstractNumId w:val="13"/>
  </w:num>
  <w:num w:numId="14" w16cid:durableId="1459683585">
    <w:abstractNumId w:val="3"/>
  </w:num>
  <w:num w:numId="15" w16cid:durableId="1305506775">
    <w:abstractNumId w:val="8"/>
  </w:num>
  <w:num w:numId="16" w16cid:durableId="2013682783">
    <w:abstractNumId w:val="6"/>
  </w:num>
  <w:num w:numId="17" w16cid:durableId="698700126">
    <w:abstractNumId w:val="19"/>
  </w:num>
  <w:num w:numId="18" w16cid:durableId="170528970">
    <w:abstractNumId w:val="7"/>
  </w:num>
  <w:num w:numId="19" w16cid:durableId="605769234">
    <w:abstractNumId w:val="11"/>
  </w:num>
  <w:num w:numId="20" w16cid:durableId="823469761">
    <w:abstractNumId w:val="1"/>
  </w:num>
  <w:num w:numId="21" w16cid:durableId="329211262">
    <w:abstractNumId w:val="17"/>
  </w:num>
  <w:num w:numId="22" w16cid:durableId="54283820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3F"/>
    <w:rsid w:val="0001189D"/>
    <w:rsid w:val="00011A2C"/>
    <w:rsid w:val="0003414B"/>
    <w:rsid w:val="000357B7"/>
    <w:rsid w:val="00040198"/>
    <w:rsid w:val="000460E9"/>
    <w:rsid w:val="00051640"/>
    <w:rsid w:val="00057A76"/>
    <w:rsid w:val="00070F52"/>
    <w:rsid w:val="00073242"/>
    <w:rsid w:val="0008332D"/>
    <w:rsid w:val="00083EEA"/>
    <w:rsid w:val="000863AC"/>
    <w:rsid w:val="00094D13"/>
    <w:rsid w:val="00096BDF"/>
    <w:rsid w:val="000B5DB9"/>
    <w:rsid w:val="000C2AC3"/>
    <w:rsid w:val="000D1BC7"/>
    <w:rsid w:val="000D6B89"/>
    <w:rsid w:val="000E49FC"/>
    <w:rsid w:val="00103E2D"/>
    <w:rsid w:val="00115ACD"/>
    <w:rsid w:val="00125D64"/>
    <w:rsid w:val="00146D14"/>
    <w:rsid w:val="00147531"/>
    <w:rsid w:val="001815BA"/>
    <w:rsid w:val="00193024"/>
    <w:rsid w:val="001C3CE7"/>
    <w:rsid w:val="001D43E2"/>
    <w:rsid w:val="00210390"/>
    <w:rsid w:val="00230883"/>
    <w:rsid w:val="00234093"/>
    <w:rsid w:val="00236157"/>
    <w:rsid w:val="0024484B"/>
    <w:rsid w:val="00257C4E"/>
    <w:rsid w:val="002935F1"/>
    <w:rsid w:val="00296510"/>
    <w:rsid w:val="00296E74"/>
    <w:rsid w:val="002A3294"/>
    <w:rsid w:val="002C696B"/>
    <w:rsid w:val="002E19F6"/>
    <w:rsid w:val="00301A78"/>
    <w:rsid w:val="00331C3B"/>
    <w:rsid w:val="00336EE0"/>
    <w:rsid w:val="00377AFB"/>
    <w:rsid w:val="003857DA"/>
    <w:rsid w:val="003A1DB7"/>
    <w:rsid w:val="003A4DA2"/>
    <w:rsid w:val="003C5DBE"/>
    <w:rsid w:val="003C7C9C"/>
    <w:rsid w:val="003D013C"/>
    <w:rsid w:val="003D2E09"/>
    <w:rsid w:val="003E483F"/>
    <w:rsid w:val="003E6C66"/>
    <w:rsid w:val="00403099"/>
    <w:rsid w:val="00437CA4"/>
    <w:rsid w:val="00442FE9"/>
    <w:rsid w:val="004465C9"/>
    <w:rsid w:val="0047295C"/>
    <w:rsid w:val="00482D50"/>
    <w:rsid w:val="004B4266"/>
    <w:rsid w:val="004C04D8"/>
    <w:rsid w:val="004F53F6"/>
    <w:rsid w:val="005048B0"/>
    <w:rsid w:val="00511D66"/>
    <w:rsid w:val="00540367"/>
    <w:rsid w:val="00544212"/>
    <w:rsid w:val="005611CB"/>
    <w:rsid w:val="00563800"/>
    <w:rsid w:val="00571FF6"/>
    <w:rsid w:val="005831DC"/>
    <w:rsid w:val="00595903"/>
    <w:rsid w:val="005B7D0E"/>
    <w:rsid w:val="005F0058"/>
    <w:rsid w:val="00607F2A"/>
    <w:rsid w:val="0061099B"/>
    <w:rsid w:val="00622DE5"/>
    <w:rsid w:val="0065561B"/>
    <w:rsid w:val="00672ED4"/>
    <w:rsid w:val="00685C84"/>
    <w:rsid w:val="00697739"/>
    <w:rsid w:val="006A42EF"/>
    <w:rsid w:val="006A48A7"/>
    <w:rsid w:val="006A6CFC"/>
    <w:rsid w:val="006B0AC1"/>
    <w:rsid w:val="006B375A"/>
    <w:rsid w:val="006F1C8E"/>
    <w:rsid w:val="006F6509"/>
    <w:rsid w:val="00707DAF"/>
    <w:rsid w:val="00712D82"/>
    <w:rsid w:val="00725898"/>
    <w:rsid w:val="00725E43"/>
    <w:rsid w:val="00726765"/>
    <w:rsid w:val="007742F2"/>
    <w:rsid w:val="00781D7B"/>
    <w:rsid w:val="00785D81"/>
    <w:rsid w:val="007A1B6C"/>
    <w:rsid w:val="007A2BA3"/>
    <w:rsid w:val="007B5A06"/>
    <w:rsid w:val="007D43A8"/>
    <w:rsid w:val="007D4CF6"/>
    <w:rsid w:val="007E5E72"/>
    <w:rsid w:val="00811EBD"/>
    <w:rsid w:val="008229B0"/>
    <w:rsid w:val="00822D97"/>
    <w:rsid w:val="00822F2F"/>
    <w:rsid w:val="0086002E"/>
    <w:rsid w:val="00874175"/>
    <w:rsid w:val="00881801"/>
    <w:rsid w:val="008B2EED"/>
    <w:rsid w:val="008D29EC"/>
    <w:rsid w:val="008D567C"/>
    <w:rsid w:val="008D73F2"/>
    <w:rsid w:val="008F3D43"/>
    <w:rsid w:val="008F6ECD"/>
    <w:rsid w:val="009132D5"/>
    <w:rsid w:val="0095673C"/>
    <w:rsid w:val="00982851"/>
    <w:rsid w:val="00992438"/>
    <w:rsid w:val="009B3622"/>
    <w:rsid w:val="009B42B5"/>
    <w:rsid w:val="009E0E21"/>
    <w:rsid w:val="009E68D2"/>
    <w:rsid w:val="00A04A68"/>
    <w:rsid w:val="00A129DC"/>
    <w:rsid w:val="00A15312"/>
    <w:rsid w:val="00A25BE9"/>
    <w:rsid w:val="00A37402"/>
    <w:rsid w:val="00A634D8"/>
    <w:rsid w:val="00A72F94"/>
    <w:rsid w:val="00A86DA8"/>
    <w:rsid w:val="00A9578A"/>
    <w:rsid w:val="00A97611"/>
    <w:rsid w:val="00A976E8"/>
    <w:rsid w:val="00AA4D01"/>
    <w:rsid w:val="00AB37CB"/>
    <w:rsid w:val="00AE4103"/>
    <w:rsid w:val="00AF627F"/>
    <w:rsid w:val="00B0171F"/>
    <w:rsid w:val="00B02AED"/>
    <w:rsid w:val="00B05B76"/>
    <w:rsid w:val="00B1395E"/>
    <w:rsid w:val="00B14EE2"/>
    <w:rsid w:val="00B26CE5"/>
    <w:rsid w:val="00B34895"/>
    <w:rsid w:val="00B56D94"/>
    <w:rsid w:val="00BA2BA8"/>
    <w:rsid w:val="00BA78C1"/>
    <w:rsid w:val="00BD0DA5"/>
    <w:rsid w:val="00BE389B"/>
    <w:rsid w:val="00BE7280"/>
    <w:rsid w:val="00BF70FD"/>
    <w:rsid w:val="00C309FD"/>
    <w:rsid w:val="00C639EC"/>
    <w:rsid w:val="00C97C31"/>
    <w:rsid w:val="00CB6BB8"/>
    <w:rsid w:val="00CD355F"/>
    <w:rsid w:val="00D126BC"/>
    <w:rsid w:val="00D24EA4"/>
    <w:rsid w:val="00D31794"/>
    <w:rsid w:val="00D36770"/>
    <w:rsid w:val="00D37DC5"/>
    <w:rsid w:val="00D6510A"/>
    <w:rsid w:val="00D75217"/>
    <w:rsid w:val="00D93F99"/>
    <w:rsid w:val="00DA5DE1"/>
    <w:rsid w:val="00DE61FA"/>
    <w:rsid w:val="00DF50B0"/>
    <w:rsid w:val="00DF587F"/>
    <w:rsid w:val="00DF638E"/>
    <w:rsid w:val="00E1159F"/>
    <w:rsid w:val="00E1312E"/>
    <w:rsid w:val="00E346CC"/>
    <w:rsid w:val="00E34F8C"/>
    <w:rsid w:val="00E46589"/>
    <w:rsid w:val="00E47D40"/>
    <w:rsid w:val="00E521A7"/>
    <w:rsid w:val="00E526E5"/>
    <w:rsid w:val="00E56C8C"/>
    <w:rsid w:val="00E622B6"/>
    <w:rsid w:val="00E72355"/>
    <w:rsid w:val="00E7443E"/>
    <w:rsid w:val="00E809A4"/>
    <w:rsid w:val="00E81DC0"/>
    <w:rsid w:val="00E82F82"/>
    <w:rsid w:val="00E8313A"/>
    <w:rsid w:val="00E85C24"/>
    <w:rsid w:val="00EA2380"/>
    <w:rsid w:val="00EA251F"/>
    <w:rsid w:val="00EA378E"/>
    <w:rsid w:val="00EB1AFC"/>
    <w:rsid w:val="00EC0DFD"/>
    <w:rsid w:val="00EC1ACE"/>
    <w:rsid w:val="00EC5FBC"/>
    <w:rsid w:val="00EC6240"/>
    <w:rsid w:val="00ED2D5A"/>
    <w:rsid w:val="00ED56FB"/>
    <w:rsid w:val="00EF2532"/>
    <w:rsid w:val="00F119B2"/>
    <w:rsid w:val="00F13E26"/>
    <w:rsid w:val="00F30EC1"/>
    <w:rsid w:val="00F360E5"/>
    <w:rsid w:val="00F54D68"/>
    <w:rsid w:val="00F567A9"/>
    <w:rsid w:val="00F72BCC"/>
    <w:rsid w:val="00F745F7"/>
    <w:rsid w:val="00F9179F"/>
    <w:rsid w:val="00FA2080"/>
    <w:rsid w:val="00FA6A38"/>
    <w:rsid w:val="00FB0D8E"/>
    <w:rsid w:val="00FB4F73"/>
    <w:rsid w:val="00FB5C83"/>
    <w:rsid w:val="00FC5374"/>
    <w:rsid w:val="00FD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74D13"/>
  <w15:chartTrackingRefBased/>
  <w15:docId w15:val="{35B63942-DB0B-4B4B-AA62-3BBEEB22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BC7"/>
    <w:pPr>
      <w:spacing w:after="120" w:line="220" w:lineRule="exact"/>
      <w:jc w:val="both"/>
    </w:pPr>
    <w:rPr>
      <w:rFonts w:ascii="DIN Pro Regular" w:hAnsi="DIN Pro Regular" w:cs="Times New Roman"/>
      <w:sz w:val="16"/>
      <w:szCs w:val="24"/>
      <w:lang w:eastAsia="pl-PL"/>
    </w:rPr>
  </w:style>
  <w:style w:type="paragraph" w:styleId="Nagwek1">
    <w:name w:val="heading 1"/>
    <w:aliases w:val="Nagłówek 1 w tekście"/>
    <w:basedOn w:val="Normalny"/>
    <w:next w:val="Normalny"/>
    <w:link w:val="Nagwek1Znak"/>
    <w:uiPriority w:val="9"/>
    <w:qFormat/>
    <w:rsid w:val="000D1BC7"/>
    <w:pPr>
      <w:keepNext/>
      <w:keepLines/>
      <w:spacing w:line="200" w:lineRule="exact"/>
      <w:jc w:val="center"/>
      <w:outlineLvl w:val="0"/>
    </w:pPr>
    <w:rPr>
      <w:rFonts w:eastAsiaTheme="majorEastAsia" w:cstheme="majorBidi"/>
      <w:b/>
      <w:color w:val="000000" w:themeColor="text1"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w tekście Znak"/>
    <w:basedOn w:val="Domylnaczcionkaakapitu"/>
    <w:link w:val="Nagwek1"/>
    <w:uiPriority w:val="9"/>
    <w:rsid w:val="000D1BC7"/>
    <w:rPr>
      <w:rFonts w:ascii="DIN Pro Regular" w:eastAsiaTheme="majorEastAsia" w:hAnsi="DIN Pro Regular" w:cstheme="majorBidi"/>
      <w:b/>
      <w:color w:val="000000" w:themeColor="text1"/>
      <w:sz w:val="20"/>
      <w:szCs w:val="32"/>
      <w:lang w:eastAsia="pl-PL"/>
    </w:rPr>
  </w:style>
  <w:style w:type="paragraph" w:styleId="Akapitzlist">
    <w:name w:val="List Paragraph"/>
    <w:aliases w:val="Alpha list"/>
    <w:basedOn w:val="Normalny"/>
    <w:link w:val="AkapitzlistZnak"/>
    <w:uiPriority w:val="34"/>
    <w:qFormat/>
    <w:rsid w:val="000D1BC7"/>
    <w:pPr>
      <w:spacing w:line="276" w:lineRule="auto"/>
      <w:ind w:left="720"/>
      <w:contextualSpacing/>
    </w:pPr>
    <w:rPr>
      <w:rFonts w:ascii="Garamond" w:hAnsi="Garamond" w:cstheme="minorBidi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D1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BC7"/>
    <w:rPr>
      <w:rFonts w:ascii="DIN Pro Regular" w:hAnsi="DIN Pro Regular" w:cs="Times New Roman"/>
      <w:sz w:val="16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1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BC7"/>
    <w:rPr>
      <w:rFonts w:ascii="DIN Pro Regular" w:hAnsi="DIN Pro Regular" w:cs="Times New Roman"/>
      <w:sz w:val="16"/>
      <w:szCs w:val="24"/>
      <w:lang w:eastAsia="pl-PL"/>
    </w:rPr>
  </w:style>
  <w:style w:type="table" w:styleId="Tabela-Siatka">
    <w:name w:val="Table Grid"/>
    <w:basedOn w:val="Standardowy"/>
    <w:uiPriority w:val="39"/>
    <w:rsid w:val="008D56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f">
    <w:name w:val="textbf"/>
    <w:rsid w:val="008D567C"/>
    <w:rPr>
      <w:b/>
      <w:i w:val="0"/>
    </w:rPr>
  </w:style>
  <w:style w:type="paragraph" w:customStyle="1" w:styleId="Style1">
    <w:name w:val="Style 1"/>
    <w:uiPriority w:val="99"/>
    <w:rsid w:val="008D567C"/>
    <w:pPr>
      <w:widowControl w:val="0"/>
      <w:autoSpaceDE w:val="0"/>
      <w:autoSpaceDN w:val="0"/>
      <w:spacing w:after="0" w:line="240" w:lineRule="auto"/>
      <w:ind w:left="288"/>
    </w:pPr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D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D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D68"/>
    <w:rPr>
      <w:rFonts w:ascii="DIN Pro Regular" w:hAnsi="DIN Pro Regular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D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D68"/>
    <w:rPr>
      <w:rFonts w:ascii="DIN Pro Regular" w:hAnsi="DIN Pro Regular" w:cs="Times New Roman"/>
      <w:b/>
      <w:bCs/>
      <w:sz w:val="20"/>
      <w:szCs w:val="20"/>
      <w:lang w:eastAsia="pl-PL"/>
    </w:rPr>
  </w:style>
  <w:style w:type="paragraph" w:customStyle="1" w:styleId="Text-body">
    <w:name w:val="Text-body"/>
    <w:basedOn w:val="Normalny"/>
    <w:next w:val="Normalny"/>
    <w:rsid w:val="00E1312E"/>
    <w:pPr>
      <w:widowControl w:val="0"/>
      <w:suppressAutoHyphens/>
      <w:autoSpaceDN w:val="0"/>
      <w:spacing w:after="0" w:line="288" w:lineRule="auto"/>
      <w:textAlignment w:val="baseline"/>
    </w:pPr>
    <w:rPr>
      <w:rFonts w:ascii="Nimbus Roman No9 L" w:eastAsia="DejaVu Sans" w:hAnsi="Nimbus Roman No9 L" w:cs="DejaVu Sans"/>
      <w:color w:val="000000"/>
      <w:kern w:val="3"/>
      <w:sz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D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D64"/>
    <w:rPr>
      <w:rFonts w:ascii="DIN Pro Regular" w:hAnsi="DIN Pro Regular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5D64"/>
    <w:rPr>
      <w:vertAlign w:val="superscript"/>
    </w:rPr>
  </w:style>
  <w:style w:type="character" w:customStyle="1" w:styleId="AkapitzlistZnak">
    <w:name w:val="Akapit z listą Znak"/>
    <w:aliases w:val="Alpha list Znak"/>
    <w:link w:val="Akapitzlist"/>
    <w:uiPriority w:val="34"/>
    <w:qFormat/>
    <w:locked/>
    <w:rsid w:val="007A2BA3"/>
    <w:rPr>
      <w:rFonts w:ascii="Garamond" w:hAnsi="Garamond"/>
      <w:sz w:val="24"/>
    </w:rPr>
  </w:style>
  <w:style w:type="paragraph" w:styleId="Poprawka">
    <w:name w:val="Revision"/>
    <w:hidden/>
    <w:uiPriority w:val="99"/>
    <w:semiHidden/>
    <w:rsid w:val="008F3D43"/>
    <w:pPr>
      <w:spacing w:after="0" w:line="240" w:lineRule="auto"/>
    </w:pPr>
    <w:rPr>
      <w:rFonts w:ascii="DIN Pro Regular" w:hAnsi="DIN Pro Regular" w:cs="Times New Roman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60532-BDDE-49E8-A561-6AFD66AB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2406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itB_KMP</dc:creator>
  <cp:keywords/>
  <dc:description/>
  <cp:lastModifiedBy>DeCha</cp:lastModifiedBy>
  <cp:revision>7</cp:revision>
  <dcterms:created xsi:type="dcterms:W3CDTF">2025-11-18T13:23:00Z</dcterms:created>
  <dcterms:modified xsi:type="dcterms:W3CDTF">2026-07-12T09:43:00Z</dcterms:modified>
</cp:coreProperties>
</file>